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6D" w:rsidRPr="00C861F5" w:rsidRDefault="00D8361F">
      <w:pPr>
        <w:rPr>
          <w:rFonts w:ascii="Times New Roman" w:hAnsi="Times New Roman" w:cs="Times New Roman"/>
          <w:sz w:val="24"/>
          <w:szCs w:val="24"/>
        </w:rPr>
      </w:pPr>
      <w:r w:rsidRPr="00C861F5">
        <w:rPr>
          <w:rFonts w:ascii="Times New Roman" w:hAnsi="Times New Roman" w:cs="Times New Roman"/>
          <w:sz w:val="24"/>
          <w:szCs w:val="24"/>
        </w:rPr>
        <w:t>Work Group CAEP Standard 5</w:t>
      </w:r>
    </w:p>
    <w:p w:rsidR="00D8361F" w:rsidRPr="00C861F5" w:rsidRDefault="00D8361F">
      <w:pPr>
        <w:rPr>
          <w:rFonts w:ascii="Times New Roman" w:hAnsi="Times New Roman" w:cs="Times New Roman"/>
          <w:sz w:val="24"/>
          <w:szCs w:val="24"/>
        </w:rPr>
      </w:pPr>
    </w:p>
    <w:p w:rsidR="002571FE" w:rsidRPr="00C861F5" w:rsidRDefault="002571FE">
      <w:pPr>
        <w:rPr>
          <w:rFonts w:ascii="Times New Roman" w:hAnsi="Times New Roman" w:cs="Times New Roman"/>
          <w:sz w:val="24"/>
          <w:szCs w:val="24"/>
        </w:rPr>
      </w:pPr>
    </w:p>
    <w:p w:rsidR="002571FE" w:rsidRPr="00C861F5" w:rsidRDefault="002571FE">
      <w:pPr>
        <w:rPr>
          <w:rFonts w:ascii="Times New Roman" w:hAnsi="Times New Roman" w:cs="Times New Roman"/>
          <w:sz w:val="24"/>
          <w:szCs w:val="24"/>
        </w:rPr>
      </w:pPr>
    </w:p>
    <w:p w:rsidR="00D8361F" w:rsidRPr="00C861F5" w:rsidRDefault="002571FE">
      <w:pPr>
        <w:rPr>
          <w:rFonts w:ascii="Times New Roman" w:hAnsi="Times New Roman" w:cs="Times New Roman"/>
          <w:b/>
          <w:sz w:val="24"/>
          <w:szCs w:val="24"/>
        </w:rPr>
      </w:pPr>
      <w:bookmarkStart w:id="0" w:name="_GoBack"/>
      <w:r w:rsidRPr="00C861F5">
        <w:rPr>
          <w:rFonts w:ascii="Times New Roman" w:hAnsi="Times New Roman" w:cs="Times New Roman"/>
          <w:b/>
          <w:sz w:val="24"/>
          <w:szCs w:val="24"/>
        </w:rPr>
        <w:t>Standard 5: Provider Quality, Continuous improvement and Capacity</w:t>
      </w:r>
    </w:p>
    <w:p w:rsidR="002571FE" w:rsidRPr="00C861F5" w:rsidRDefault="002571FE" w:rsidP="002571FE">
      <w:pPr>
        <w:shd w:val="clear" w:color="auto" w:fill="FFFFFF"/>
        <w:rPr>
          <w:rFonts w:ascii="Times New Roman" w:eastAsia="Times New Roman" w:hAnsi="Times New Roman" w:cs="Times New Roman"/>
          <w:sz w:val="24"/>
          <w:szCs w:val="24"/>
        </w:rPr>
      </w:pPr>
      <w:r w:rsidRPr="00C861F5">
        <w:rPr>
          <w:rFonts w:ascii="Times New Roman" w:eastAsia="Times New Roman" w:hAnsi="Times New Roman" w:cs="Times New Roman"/>
          <w:sz w:val="24"/>
          <w:szCs w:val="24"/>
        </w:rPr>
        <w:t>The provider maintains a quality assurance system comprised of valid data from multiple measures, including evidence of candidates’ and completers’ positive impact on P-12 student learning and development. The provider supports continuous improvement that is sustained and evidence-based, and that evaluates the effectiveness of its completers. The provider uses the results of inquiry and data collection to establish priorities, enhance program elements and capacity, and test innovations to improve completers’ impact on P-12 student learning and development.</w:t>
      </w:r>
    </w:p>
    <w:p w:rsidR="00D8361F" w:rsidRPr="00C861F5" w:rsidRDefault="00D8361F">
      <w:pPr>
        <w:rPr>
          <w:rFonts w:ascii="Times New Roman" w:hAnsi="Times New Roman" w:cs="Times New Roman"/>
          <w:sz w:val="24"/>
          <w:szCs w:val="24"/>
        </w:rPr>
      </w:pPr>
    </w:p>
    <w:p w:rsidR="002571FE" w:rsidRPr="00C861F5" w:rsidRDefault="002571FE" w:rsidP="00B41B3E">
      <w:pPr>
        <w:outlineLvl w:val="0"/>
        <w:rPr>
          <w:rFonts w:ascii="Times New Roman" w:eastAsia="Times New Roman" w:hAnsi="Times New Roman" w:cs="Times New Roman"/>
          <w:b/>
          <w:bCs/>
          <w:kern w:val="36"/>
          <w:sz w:val="24"/>
          <w:szCs w:val="24"/>
        </w:rPr>
      </w:pPr>
      <w:r w:rsidRPr="00C861F5">
        <w:rPr>
          <w:rFonts w:ascii="Times New Roman" w:eastAsia="Times New Roman" w:hAnsi="Times New Roman" w:cs="Times New Roman"/>
          <w:b/>
          <w:bCs/>
          <w:kern w:val="36"/>
          <w:sz w:val="24"/>
          <w:szCs w:val="24"/>
        </w:rPr>
        <w:t>Components</w:t>
      </w:r>
    </w:p>
    <w:p w:rsidR="002571FE" w:rsidRPr="00C861F5" w:rsidRDefault="002571FE" w:rsidP="00B41B3E">
      <w:pPr>
        <w:rPr>
          <w:rFonts w:ascii="Times New Roman" w:eastAsia="Times New Roman" w:hAnsi="Times New Roman" w:cs="Times New Roman"/>
          <w:sz w:val="24"/>
          <w:szCs w:val="24"/>
        </w:rPr>
      </w:pPr>
      <w:r w:rsidRPr="00C861F5">
        <w:rPr>
          <w:rFonts w:ascii="Times New Roman" w:eastAsia="Times New Roman" w:hAnsi="Times New Roman" w:cs="Times New Roman"/>
          <w:b/>
          <w:bCs/>
          <w:sz w:val="24"/>
          <w:szCs w:val="24"/>
        </w:rPr>
        <w:t>Quality and Strategic Evaluation</w:t>
      </w:r>
    </w:p>
    <w:p w:rsidR="002571FE" w:rsidRPr="00C861F5" w:rsidRDefault="002571FE" w:rsidP="00F22B08">
      <w:pPr>
        <w:rPr>
          <w:rFonts w:ascii="Times New Roman" w:eastAsia="Times New Roman" w:hAnsi="Times New Roman" w:cs="Times New Roman"/>
          <w:sz w:val="24"/>
          <w:szCs w:val="24"/>
        </w:rPr>
      </w:pPr>
      <w:r w:rsidRPr="00C861F5">
        <w:rPr>
          <w:rFonts w:ascii="Times New Roman" w:eastAsia="Times New Roman" w:hAnsi="Times New Roman" w:cs="Times New Roman"/>
          <w:sz w:val="24"/>
          <w:szCs w:val="24"/>
        </w:rPr>
        <w:t>5.1 The provider’s quality assurance system is comprised of multiple measures that can monitor candidate progress, completer achievements, and provider operational effectiveness. Evidence demonstrates that the provider satisfies all CAEP standards.</w:t>
      </w:r>
    </w:p>
    <w:p w:rsidR="00B41B3E" w:rsidRDefault="00B41B3E" w:rsidP="00B41B3E">
      <w:pPr>
        <w:ind w:left="720"/>
        <w:rPr>
          <w:rFonts w:ascii="Times New Roman" w:eastAsia="Times New Roman" w:hAnsi="Times New Roman" w:cs="Times New Roman"/>
          <w:sz w:val="24"/>
          <w:szCs w:val="24"/>
        </w:rPr>
      </w:pPr>
    </w:p>
    <w:p w:rsidR="00B41B3E" w:rsidRPr="00F22B08" w:rsidRDefault="00B41B3E" w:rsidP="00F22B08">
      <w:pPr>
        <w:ind w:left="720"/>
        <w:rPr>
          <w:rFonts w:ascii="Times New Roman" w:hAnsi="Times New Roman" w:cs="Times New Roman"/>
          <w:sz w:val="24"/>
          <w:szCs w:val="24"/>
        </w:rPr>
      </w:pPr>
      <w:r w:rsidRPr="00224AA5">
        <w:rPr>
          <w:rFonts w:ascii="Times New Roman" w:hAnsi="Times New Roman" w:cs="Times New Roman"/>
          <w:sz w:val="24"/>
          <w:szCs w:val="24"/>
          <w:u w:val="single"/>
        </w:rPr>
        <w:t>FINDINGS</w:t>
      </w:r>
      <w:r w:rsidRPr="00F22B08">
        <w:rPr>
          <w:rFonts w:ascii="Times New Roman" w:hAnsi="Times New Roman" w:cs="Times New Roman"/>
          <w:sz w:val="24"/>
          <w:szCs w:val="24"/>
        </w:rPr>
        <w:t>: Multiple measures exist across programs to measure candidate progression and success. These measures are identified on YASU-DAR and relate directly to SPA or CAEP standards.</w:t>
      </w:r>
    </w:p>
    <w:p w:rsidR="00B41B3E" w:rsidRPr="00F22B08" w:rsidRDefault="00B41B3E" w:rsidP="00B41B3E">
      <w:pPr>
        <w:rPr>
          <w:rFonts w:ascii="Times New Roman" w:hAnsi="Times New Roman" w:cs="Times New Roman"/>
          <w:sz w:val="24"/>
          <w:szCs w:val="24"/>
        </w:rPr>
      </w:pPr>
    </w:p>
    <w:p w:rsidR="00B41B3E" w:rsidRPr="00F22B08" w:rsidRDefault="00B41B3E" w:rsidP="00B41B3E">
      <w:pPr>
        <w:ind w:left="720"/>
        <w:rPr>
          <w:rFonts w:ascii="Times New Roman" w:eastAsia="Times New Roman" w:hAnsi="Times New Roman" w:cs="Times New Roman"/>
          <w:sz w:val="24"/>
          <w:szCs w:val="24"/>
        </w:rPr>
      </w:pPr>
    </w:p>
    <w:p w:rsidR="002571FE" w:rsidRPr="00F22B08" w:rsidRDefault="002571FE" w:rsidP="00F22B08">
      <w:pPr>
        <w:rPr>
          <w:rFonts w:ascii="Times New Roman" w:eastAsia="Times New Roman" w:hAnsi="Times New Roman" w:cs="Times New Roman"/>
          <w:sz w:val="24"/>
          <w:szCs w:val="24"/>
        </w:rPr>
      </w:pPr>
      <w:r w:rsidRPr="00F22B08">
        <w:rPr>
          <w:rFonts w:ascii="Times New Roman" w:eastAsia="Times New Roman" w:hAnsi="Times New Roman" w:cs="Times New Roman"/>
          <w:sz w:val="24"/>
          <w:szCs w:val="24"/>
        </w:rPr>
        <w:t>5.2 The provider’s quality assurance system relies on relevant, verifiable, representative, cumulative and actionable measures, and produces empirical evidence that interpretations of data are valid and consistent.</w:t>
      </w:r>
    </w:p>
    <w:p w:rsidR="002571FE" w:rsidRPr="00F22B08" w:rsidRDefault="002571FE">
      <w:pPr>
        <w:rPr>
          <w:rFonts w:ascii="Times New Roman" w:hAnsi="Times New Roman" w:cs="Times New Roman"/>
          <w:sz w:val="24"/>
          <w:szCs w:val="24"/>
        </w:rPr>
      </w:pPr>
    </w:p>
    <w:p w:rsidR="002571FE" w:rsidRPr="00F22B08" w:rsidRDefault="002571FE" w:rsidP="00F22B08">
      <w:pPr>
        <w:ind w:left="720"/>
        <w:rPr>
          <w:rFonts w:ascii="Times New Roman" w:hAnsi="Times New Roman" w:cs="Times New Roman"/>
          <w:sz w:val="24"/>
          <w:szCs w:val="24"/>
        </w:rPr>
      </w:pPr>
      <w:r w:rsidRPr="00F22B08">
        <w:rPr>
          <w:rFonts w:ascii="Times New Roman" w:hAnsi="Times New Roman" w:cs="Times New Roman"/>
          <w:sz w:val="24"/>
          <w:szCs w:val="24"/>
          <w:u w:val="single"/>
        </w:rPr>
        <w:t>Task:</w:t>
      </w:r>
      <w:r w:rsidRPr="00F22B08">
        <w:rPr>
          <w:rFonts w:ascii="Times New Roman" w:hAnsi="Times New Roman" w:cs="Times New Roman"/>
          <w:sz w:val="24"/>
          <w:szCs w:val="24"/>
        </w:rPr>
        <w:t xml:space="preserve"> Review assessments collected for program evaluation and reporting with rationale for choice of assessment. Determine criteria for evidence across assessments. This is an </w:t>
      </w:r>
      <w:r w:rsidRPr="00F22B08">
        <w:rPr>
          <w:rFonts w:ascii="Times New Roman" w:hAnsi="Times New Roman" w:cs="Times New Roman"/>
          <w:i/>
          <w:sz w:val="24"/>
          <w:szCs w:val="24"/>
        </w:rPr>
        <w:t>initial overview</w:t>
      </w:r>
      <w:r w:rsidRPr="00F22B08">
        <w:rPr>
          <w:rFonts w:ascii="Times New Roman" w:hAnsi="Times New Roman" w:cs="Times New Roman"/>
          <w:sz w:val="24"/>
          <w:szCs w:val="24"/>
        </w:rPr>
        <w:t xml:space="preserve"> and not a drill-down to details analysis. </w:t>
      </w:r>
    </w:p>
    <w:p w:rsidR="002571FE" w:rsidRPr="00C861F5" w:rsidRDefault="002571FE">
      <w:pPr>
        <w:rPr>
          <w:rFonts w:ascii="Times New Roman" w:hAnsi="Times New Roman" w:cs="Times New Roman"/>
          <w:sz w:val="24"/>
          <w:szCs w:val="24"/>
        </w:rPr>
      </w:pPr>
    </w:p>
    <w:p w:rsidR="00C861F5" w:rsidRPr="00C861F5" w:rsidRDefault="00C861F5" w:rsidP="00F22B08">
      <w:pPr>
        <w:ind w:firstLine="720"/>
        <w:rPr>
          <w:rFonts w:ascii="Times New Roman" w:hAnsi="Times New Roman" w:cs="Times New Roman"/>
          <w:sz w:val="24"/>
          <w:szCs w:val="24"/>
        </w:rPr>
      </w:pPr>
      <w:r w:rsidRPr="00C861F5">
        <w:rPr>
          <w:rFonts w:ascii="Times New Roman" w:hAnsi="Times New Roman" w:cs="Times New Roman"/>
          <w:sz w:val="24"/>
          <w:szCs w:val="24"/>
          <w:u w:val="single"/>
        </w:rPr>
        <w:t>Goal:</w:t>
      </w:r>
      <w:r w:rsidRPr="00C861F5">
        <w:rPr>
          <w:rFonts w:ascii="Times New Roman" w:hAnsi="Times New Roman" w:cs="Times New Roman"/>
          <w:sz w:val="24"/>
          <w:szCs w:val="24"/>
        </w:rPr>
        <w:t xml:space="preserve"> Identify gaps in data collection based on CAEP 2015 Evidence Guide.</w:t>
      </w:r>
    </w:p>
    <w:p w:rsidR="00C861F5" w:rsidRPr="00C861F5" w:rsidRDefault="00C861F5" w:rsidP="00F22B08">
      <w:pPr>
        <w:pStyle w:val="Default"/>
        <w:ind w:left="1440"/>
        <w:rPr>
          <w:rFonts w:ascii="Times New Roman" w:hAnsi="Times New Roman" w:cs="Times New Roman"/>
        </w:rPr>
      </w:pPr>
      <w:r w:rsidRPr="00C861F5">
        <w:rPr>
          <w:rFonts w:ascii="Times New Roman" w:hAnsi="Times New Roman" w:cs="Times New Roman"/>
        </w:rPr>
        <w:t xml:space="preserve">• </w:t>
      </w:r>
      <w:r w:rsidRPr="00C861F5">
        <w:rPr>
          <w:rFonts w:ascii="Times New Roman" w:hAnsi="Times New Roman" w:cs="Times New Roman"/>
          <w:iCs/>
          <w:u w:val="single"/>
        </w:rPr>
        <w:t xml:space="preserve">Construct </w:t>
      </w:r>
      <w:proofErr w:type="gramStart"/>
      <w:r w:rsidRPr="00C861F5">
        <w:rPr>
          <w:rFonts w:ascii="Times New Roman" w:hAnsi="Times New Roman" w:cs="Times New Roman"/>
          <w:iCs/>
          <w:u w:val="single"/>
        </w:rPr>
        <w:t>validity</w:t>
      </w:r>
      <w:r w:rsidRPr="00C861F5">
        <w:rPr>
          <w:rFonts w:ascii="Times New Roman" w:hAnsi="Times New Roman" w:cs="Times New Roman"/>
        </w:rPr>
        <w:t xml:space="preserve">  -</w:t>
      </w:r>
      <w:proofErr w:type="gramEnd"/>
      <w:r w:rsidRPr="00C861F5">
        <w:rPr>
          <w:rFonts w:ascii="Times New Roman" w:hAnsi="Times New Roman" w:cs="Times New Roman"/>
        </w:rPr>
        <w:t xml:space="preserve">To what extent does the evaluation measure what it claims to measure? </w:t>
      </w:r>
    </w:p>
    <w:p w:rsidR="00C861F5" w:rsidRPr="00C861F5" w:rsidRDefault="00C861F5" w:rsidP="00F22B08">
      <w:pPr>
        <w:pStyle w:val="Default"/>
        <w:ind w:left="1440"/>
        <w:rPr>
          <w:rFonts w:ascii="Times New Roman" w:hAnsi="Times New Roman" w:cs="Times New Roman"/>
        </w:rPr>
      </w:pPr>
      <w:r w:rsidRPr="00C861F5">
        <w:rPr>
          <w:rFonts w:ascii="Times New Roman" w:hAnsi="Times New Roman" w:cs="Times New Roman"/>
        </w:rPr>
        <w:t xml:space="preserve">• </w:t>
      </w:r>
      <w:r w:rsidRPr="00C861F5">
        <w:rPr>
          <w:rFonts w:ascii="Times New Roman" w:hAnsi="Times New Roman" w:cs="Times New Roman"/>
          <w:iCs/>
          <w:u w:val="single"/>
        </w:rPr>
        <w:t xml:space="preserve">Content </w:t>
      </w:r>
      <w:proofErr w:type="gramStart"/>
      <w:r w:rsidRPr="00C861F5">
        <w:rPr>
          <w:rFonts w:ascii="Times New Roman" w:hAnsi="Times New Roman" w:cs="Times New Roman"/>
          <w:iCs/>
          <w:u w:val="single"/>
        </w:rPr>
        <w:t>validity</w:t>
      </w:r>
      <w:r w:rsidRPr="00C861F5">
        <w:rPr>
          <w:rFonts w:ascii="Times New Roman" w:hAnsi="Times New Roman" w:cs="Times New Roman"/>
        </w:rPr>
        <w:t xml:space="preserve">  -</w:t>
      </w:r>
      <w:proofErr w:type="gramEnd"/>
      <w:r w:rsidRPr="00C861F5">
        <w:rPr>
          <w:rFonts w:ascii="Times New Roman" w:hAnsi="Times New Roman" w:cs="Times New Roman"/>
        </w:rPr>
        <w:t xml:space="preserve"> Are the right attributes being measured in the right balance? </w:t>
      </w:r>
    </w:p>
    <w:p w:rsidR="00C861F5" w:rsidRPr="00C861F5" w:rsidRDefault="00C861F5" w:rsidP="00F22B08">
      <w:pPr>
        <w:pStyle w:val="Default"/>
        <w:ind w:left="1440"/>
        <w:rPr>
          <w:rFonts w:ascii="Times New Roman" w:hAnsi="Times New Roman" w:cs="Times New Roman"/>
        </w:rPr>
      </w:pPr>
      <w:r w:rsidRPr="00C861F5">
        <w:rPr>
          <w:rFonts w:ascii="Times New Roman" w:hAnsi="Times New Roman" w:cs="Times New Roman"/>
        </w:rPr>
        <w:t xml:space="preserve">• </w:t>
      </w:r>
      <w:r w:rsidRPr="00C861F5">
        <w:rPr>
          <w:rFonts w:ascii="Times New Roman" w:hAnsi="Times New Roman" w:cs="Times New Roman"/>
          <w:iCs/>
          <w:u w:val="single"/>
        </w:rPr>
        <w:t xml:space="preserve">Predictive </w:t>
      </w:r>
      <w:proofErr w:type="gramStart"/>
      <w:r w:rsidRPr="00C861F5">
        <w:rPr>
          <w:rFonts w:ascii="Times New Roman" w:hAnsi="Times New Roman" w:cs="Times New Roman"/>
          <w:iCs/>
          <w:u w:val="single"/>
        </w:rPr>
        <w:t>validity</w:t>
      </w:r>
      <w:r w:rsidRPr="00C861F5">
        <w:rPr>
          <w:rFonts w:ascii="Times New Roman" w:hAnsi="Times New Roman" w:cs="Times New Roman"/>
        </w:rPr>
        <w:t xml:space="preserve">  -</w:t>
      </w:r>
      <w:proofErr w:type="gramEnd"/>
      <w:r w:rsidRPr="00C861F5">
        <w:rPr>
          <w:rFonts w:ascii="Times New Roman" w:hAnsi="Times New Roman" w:cs="Times New Roman"/>
        </w:rPr>
        <w:t xml:space="preserve"> Is there evidence that teachers graduating from highly rated TPPs prove </w:t>
      </w:r>
    </w:p>
    <w:p w:rsidR="00C861F5" w:rsidRPr="00C861F5" w:rsidRDefault="00C861F5" w:rsidP="00F22B08">
      <w:pPr>
        <w:pStyle w:val="Default"/>
        <w:ind w:left="1440" w:firstLine="720"/>
        <w:rPr>
          <w:rFonts w:ascii="Times New Roman" w:hAnsi="Times New Roman" w:cs="Times New Roman"/>
        </w:rPr>
      </w:pPr>
      <w:proofErr w:type="gramStart"/>
      <w:r w:rsidRPr="00C861F5">
        <w:rPr>
          <w:rFonts w:ascii="Times New Roman" w:hAnsi="Times New Roman" w:cs="Times New Roman"/>
        </w:rPr>
        <w:t>more</w:t>
      </w:r>
      <w:proofErr w:type="gramEnd"/>
      <w:r w:rsidRPr="00C861F5">
        <w:rPr>
          <w:rFonts w:ascii="Times New Roman" w:hAnsi="Times New Roman" w:cs="Times New Roman"/>
        </w:rPr>
        <w:t xml:space="preserve"> effective in the classroom? </w:t>
      </w:r>
    </w:p>
    <w:p w:rsidR="00F22B08" w:rsidRDefault="00C861F5" w:rsidP="00F22B08">
      <w:pPr>
        <w:pStyle w:val="Default"/>
        <w:ind w:left="1440"/>
        <w:rPr>
          <w:rFonts w:ascii="Times New Roman" w:hAnsi="Times New Roman" w:cs="Times New Roman"/>
        </w:rPr>
      </w:pPr>
      <w:r w:rsidRPr="00C861F5">
        <w:rPr>
          <w:rFonts w:ascii="Times New Roman" w:hAnsi="Times New Roman" w:cs="Times New Roman"/>
        </w:rPr>
        <w:t xml:space="preserve">• </w:t>
      </w:r>
      <w:r w:rsidRPr="00C861F5">
        <w:rPr>
          <w:rFonts w:ascii="Times New Roman" w:hAnsi="Times New Roman" w:cs="Times New Roman"/>
          <w:iCs/>
          <w:u w:val="single"/>
        </w:rPr>
        <w:t xml:space="preserve">Face </w:t>
      </w:r>
      <w:proofErr w:type="gramStart"/>
      <w:r w:rsidRPr="00C861F5">
        <w:rPr>
          <w:rFonts w:ascii="Times New Roman" w:hAnsi="Times New Roman" w:cs="Times New Roman"/>
          <w:iCs/>
          <w:u w:val="single"/>
        </w:rPr>
        <w:t>validity</w:t>
      </w:r>
      <w:r w:rsidRPr="00C861F5">
        <w:rPr>
          <w:rFonts w:ascii="Times New Roman" w:hAnsi="Times New Roman" w:cs="Times New Roman"/>
        </w:rPr>
        <w:t xml:space="preserve">  -</w:t>
      </w:r>
      <w:proofErr w:type="gramEnd"/>
      <w:r w:rsidRPr="00C861F5">
        <w:rPr>
          <w:rFonts w:ascii="Times New Roman" w:hAnsi="Times New Roman" w:cs="Times New Roman"/>
        </w:rPr>
        <w:t xml:space="preserve"> Is a measure subjectively viewed as being important and relevant to assessing </w:t>
      </w:r>
    </w:p>
    <w:p w:rsidR="00C861F5" w:rsidRPr="00C861F5" w:rsidRDefault="00C861F5" w:rsidP="00F22B08">
      <w:pPr>
        <w:pStyle w:val="Default"/>
        <w:ind w:left="1440" w:firstLine="720"/>
        <w:rPr>
          <w:rFonts w:ascii="Times New Roman" w:hAnsi="Times New Roman" w:cs="Times New Roman"/>
        </w:rPr>
      </w:pPr>
      <w:r w:rsidRPr="00C861F5">
        <w:rPr>
          <w:rFonts w:ascii="Times New Roman" w:hAnsi="Times New Roman" w:cs="Times New Roman"/>
        </w:rPr>
        <w:t xml:space="preserve">TPPs? </w:t>
      </w:r>
    </w:p>
    <w:p w:rsidR="00C861F5" w:rsidRPr="00C861F5" w:rsidRDefault="00C861F5" w:rsidP="00F22B08">
      <w:pPr>
        <w:pStyle w:val="Default"/>
        <w:ind w:left="720"/>
        <w:rPr>
          <w:rFonts w:ascii="Times New Roman" w:hAnsi="Times New Roman" w:cs="Times New Roman"/>
        </w:rPr>
      </w:pPr>
      <w:r w:rsidRPr="00C861F5">
        <w:rPr>
          <w:rFonts w:ascii="Times New Roman" w:hAnsi="Times New Roman" w:cs="Times New Roman"/>
        </w:rPr>
        <w:t xml:space="preserve"> </w:t>
      </w:r>
      <w:r>
        <w:rPr>
          <w:rFonts w:ascii="Times New Roman" w:hAnsi="Times New Roman" w:cs="Times New Roman"/>
        </w:rPr>
        <w:tab/>
      </w:r>
      <w:r w:rsidRPr="00C861F5">
        <w:rPr>
          <w:rFonts w:ascii="Times New Roman" w:hAnsi="Times New Roman" w:cs="Times New Roman"/>
        </w:rPr>
        <w:t xml:space="preserve">(CAEP Evidence Guide, 2015, p.17). </w:t>
      </w:r>
    </w:p>
    <w:p w:rsidR="00C861F5" w:rsidRPr="00C861F5" w:rsidRDefault="00C861F5" w:rsidP="00C861F5">
      <w:pPr>
        <w:pStyle w:val="Default"/>
        <w:rPr>
          <w:rFonts w:ascii="Times New Roman" w:hAnsi="Times New Roman" w:cs="Times New Roman"/>
        </w:rPr>
      </w:pPr>
    </w:p>
    <w:p w:rsidR="00C861F5" w:rsidRPr="00C861F5" w:rsidRDefault="00C861F5" w:rsidP="00F22B08">
      <w:pPr>
        <w:pStyle w:val="Default"/>
        <w:numPr>
          <w:ilvl w:val="0"/>
          <w:numId w:val="1"/>
        </w:numPr>
        <w:ind w:left="1080"/>
        <w:rPr>
          <w:rFonts w:ascii="Times New Roman" w:hAnsi="Times New Roman" w:cs="Times New Roman"/>
        </w:rPr>
      </w:pPr>
      <w:r w:rsidRPr="00C861F5">
        <w:rPr>
          <w:rFonts w:ascii="Times New Roman" w:hAnsi="Times New Roman" w:cs="Times New Roman"/>
          <w:bCs/>
          <w:u w:val="single"/>
        </w:rPr>
        <w:t>Representativeness.</w:t>
      </w:r>
      <w:r w:rsidRPr="00C861F5">
        <w:rPr>
          <w:rFonts w:ascii="Times New Roman" w:hAnsi="Times New Roman" w:cs="Times New Roman"/>
          <w:bCs/>
        </w:rPr>
        <w:t xml:space="preserve">  </w:t>
      </w:r>
      <w:r w:rsidRPr="00C861F5">
        <w:rPr>
          <w:rFonts w:ascii="Times New Roman" w:hAnsi="Times New Roman" w:cs="Times New Roman"/>
        </w:rPr>
        <w:t>The guiding question for this principle should always be “</w:t>
      </w:r>
      <w:r w:rsidRPr="00C861F5">
        <w:rPr>
          <w:rFonts w:ascii="Times New Roman" w:hAnsi="Times New Roman" w:cs="Times New Roman"/>
          <w:b/>
        </w:rPr>
        <w:t>is the evidence drawn from situations that are typical and potentially generalizable</w:t>
      </w:r>
      <w:r w:rsidRPr="00C861F5">
        <w:rPr>
          <w:rFonts w:ascii="Times New Roman" w:hAnsi="Times New Roman" w:cs="Times New Roman"/>
        </w:rPr>
        <w:t>?” (CAEP Evidence Guide, 2015, p.19).</w:t>
      </w:r>
    </w:p>
    <w:p w:rsidR="00C861F5" w:rsidRPr="00C861F5" w:rsidRDefault="00C861F5" w:rsidP="00F22B08">
      <w:pPr>
        <w:pStyle w:val="Default"/>
        <w:ind w:left="360"/>
        <w:rPr>
          <w:rFonts w:ascii="Times New Roman" w:hAnsi="Times New Roman" w:cs="Times New Roman"/>
        </w:rPr>
      </w:pPr>
    </w:p>
    <w:p w:rsidR="00C861F5" w:rsidRPr="00C861F5" w:rsidRDefault="00C861F5" w:rsidP="00F22B08">
      <w:pPr>
        <w:pStyle w:val="Default"/>
        <w:numPr>
          <w:ilvl w:val="0"/>
          <w:numId w:val="1"/>
        </w:numPr>
        <w:ind w:left="1080"/>
        <w:rPr>
          <w:rFonts w:ascii="Times New Roman" w:hAnsi="Times New Roman" w:cs="Times New Roman"/>
        </w:rPr>
      </w:pPr>
      <w:r w:rsidRPr="00C861F5">
        <w:rPr>
          <w:rFonts w:ascii="Times New Roman" w:hAnsi="Times New Roman" w:cs="Times New Roman"/>
          <w:bCs/>
          <w:u w:val="single"/>
        </w:rPr>
        <w:t>Cumulativeness</w:t>
      </w:r>
      <w:r w:rsidRPr="00C861F5">
        <w:rPr>
          <w:rFonts w:ascii="Times New Roman" w:hAnsi="Times New Roman" w:cs="Times New Roman"/>
          <w:bCs/>
        </w:rPr>
        <w:t xml:space="preserve">.  </w:t>
      </w:r>
      <w:r w:rsidRPr="00C861F5">
        <w:rPr>
          <w:rFonts w:ascii="Times New Roman" w:hAnsi="Times New Roman" w:cs="Times New Roman"/>
        </w:rPr>
        <w:t xml:space="preserve"> Triangulation…</w:t>
      </w:r>
      <w:proofErr w:type="gramStart"/>
      <w:r w:rsidRPr="00C861F5">
        <w:rPr>
          <w:rFonts w:ascii="Times New Roman" w:hAnsi="Times New Roman" w:cs="Times New Roman"/>
        </w:rPr>
        <w:t>.  qualitative</w:t>
      </w:r>
      <w:proofErr w:type="gramEnd"/>
      <w:r w:rsidRPr="00C861F5">
        <w:rPr>
          <w:rFonts w:ascii="Times New Roman" w:hAnsi="Times New Roman" w:cs="Times New Roman"/>
        </w:rPr>
        <w:t xml:space="preserve"> methods ….. </w:t>
      </w:r>
      <w:proofErr w:type="gramStart"/>
      <w:r w:rsidRPr="00C861F5">
        <w:rPr>
          <w:rFonts w:ascii="Times New Roman" w:hAnsi="Times New Roman" w:cs="Times New Roman"/>
        </w:rPr>
        <w:t>describe</w:t>
      </w:r>
      <w:proofErr w:type="gramEnd"/>
      <w:r w:rsidRPr="00C861F5">
        <w:rPr>
          <w:rFonts w:ascii="Times New Roman" w:hAnsi="Times New Roman" w:cs="Times New Roman"/>
        </w:rPr>
        <w:t xml:space="preserve"> the method used to analyze those data. </w:t>
      </w:r>
      <w:r w:rsidRPr="00C861F5">
        <w:rPr>
          <w:rFonts w:ascii="Times New Roman" w:hAnsi="Times New Roman" w:cs="Times New Roman"/>
          <w:b/>
        </w:rPr>
        <w:t>Usually this involves triangulation of the data using one or more methods</w:t>
      </w:r>
      <w:r w:rsidRPr="00C861F5">
        <w:rPr>
          <w:rFonts w:ascii="Times New Roman" w:hAnsi="Times New Roman" w:cs="Times New Roman"/>
        </w:rPr>
        <w:t xml:space="preserve"> (CAEP Evidence Guide, 2015, p.19).</w:t>
      </w:r>
    </w:p>
    <w:p w:rsidR="00C861F5" w:rsidRPr="00C861F5" w:rsidRDefault="00C861F5" w:rsidP="00F22B08">
      <w:pPr>
        <w:pStyle w:val="Default"/>
        <w:ind w:left="360"/>
        <w:rPr>
          <w:rFonts w:ascii="Times New Roman" w:hAnsi="Times New Roman" w:cs="Times New Roman"/>
        </w:rPr>
      </w:pPr>
    </w:p>
    <w:p w:rsidR="00C861F5" w:rsidRPr="00C861F5" w:rsidRDefault="00C861F5" w:rsidP="00F22B08">
      <w:pPr>
        <w:pStyle w:val="Default"/>
        <w:numPr>
          <w:ilvl w:val="0"/>
          <w:numId w:val="1"/>
        </w:numPr>
        <w:ind w:left="1080"/>
        <w:rPr>
          <w:rFonts w:ascii="Times New Roman" w:hAnsi="Times New Roman" w:cs="Times New Roman"/>
        </w:rPr>
      </w:pPr>
      <w:r w:rsidRPr="00C861F5">
        <w:rPr>
          <w:rFonts w:ascii="Times New Roman" w:hAnsi="Times New Roman" w:cs="Times New Roman"/>
          <w:bCs/>
          <w:u w:val="single"/>
        </w:rPr>
        <w:t>Fairness</w:t>
      </w:r>
      <w:r w:rsidRPr="00C861F5">
        <w:rPr>
          <w:rFonts w:ascii="Times New Roman" w:hAnsi="Times New Roman" w:cs="Times New Roman"/>
          <w:bCs/>
        </w:rPr>
        <w:t xml:space="preserve">.  </w:t>
      </w:r>
      <w:proofErr w:type="gramStart"/>
      <w:r w:rsidRPr="00C861F5">
        <w:rPr>
          <w:rFonts w:ascii="Times New Roman" w:hAnsi="Times New Roman" w:cs="Times New Roman"/>
          <w:b/>
        </w:rPr>
        <w:t>free</w:t>
      </w:r>
      <w:proofErr w:type="gramEnd"/>
      <w:r w:rsidRPr="00C861F5">
        <w:rPr>
          <w:rFonts w:ascii="Times New Roman" w:hAnsi="Times New Roman" w:cs="Times New Roman"/>
          <w:b/>
        </w:rPr>
        <w:t xml:space="preserve"> from bias …… range of client perspectives</w:t>
      </w:r>
      <w:r w:rsidRPr="00C861F5">
        <w:rPr>
          <w:rFonts w:ascii="Times New Roman" w:hAnsi="Times New Roman" w:cs="Times New Roman"/>
        </w:rPr>
        <w:t xml:space="preserve"> including the program, the student, the employer, and the state or jurisdiction (CAEP Evidence Guide, 2015, p.20-21).</w:t>
      </w:r>
    </w:p>
    <w:p w:rsidR="00C861F5" w:rsidRPr="00C861F5" w:rsidRDefault="00C861F5" w:rsidP="00F22B08">
      <w:pPr>
        <w:pStyle w:val="Default"/>
        <w:ind w:left="360"/>
        <w:rPr>
          <w:rFonts w:ascii="Times New Roman" w:hAnsi="Times New Roman" w:cs="Times New Roman"/>
        </w:rPr>
      </w:pPr>
    </w:p>
    <w:p w:rsidR="00C861F5" w:rsidRPr="00C861F5" w:rsidRDefault="00C861F5" w:rsidP="00F22B08">
      <w:pPr>
        <w:pStyle w:val="Default"/>
        <w:numPr>
          <w:ilvl w:val="0"/>
          <w:numId w:val="1"/>
        </w:numPr>
        <w:ind w:left="1080"/>
        <w:rPr>
          <w:rFonts w:ascii="Times New Roman" w:hAnsi="Times New Roman" w:cs="Times New Roman"/>
        </w:rPr>
      </w:pPr>
      <w:r w:rsidRPr="00C861F5">
        <w:rPr>
          <w:rFonts w:ascii="Times New Roman" w:hAnsi="Times New Roman" w:cs="Times New Roman"/>
          <w:bCs/>
          <w:u w:val="single"/>
        </w:rPr>
        <w:t>Robustness</w:t>
      </w:r>
      <w:r w:rsidRPr="00C861F5">
        <w:rPr>
          <w:rFonts w:ascii="Times New Roman" w:hAnsi="Times New Roman" w:cs="Times New Roman"/>
          <w:bCs/>
        </w:rPr>
        <w:t xml:space="preserve">.  </w:t>
      </w:r>
      <w:r w:rsidRPr="00C861F5">
        <w:rPr>
          <w:rFonts w:ascii="Times New Roman" w:hAnsi="Times New Roman" w:cs="Times New Roman"/>
        </w:rPr>
        <w:t xml:space="preserve">A guiding question here should be, </w:t>
      </w:r>
      <w:r w:rsidRPr="00C861F5">
        <w:rPr>
          <w:rFonts w:ascii="Times New Roman" w:hAnsi="Times New Roman" w:cs="Times New Roman"/>
          <w:b/>
        </w:rPr>
        <w:t xml:space="preserve">“is the evidence direct and compelling?” </w:t>
      </w:r>
      <w:r w:rsidRPr="00C861F5">
        <w:rPr>
          <w:rFonts w:ascii="Times New Roman" w:hAnsi="Times New Roman" w:cs="Times New Roman"/>
        </w:rPr>
        <w:t>(CAEP Evidence Guide, 2015, p.21).</w:t>
      </w:r>
    </w:p>
    <w:p w:rsidR="00C861F5" w:rsidRPr="00C861F5" w:rsidRDefault="00C861F5" w:rsidP="00F22B08">
      <w:pPr>
        <w:pStyle w:val="Default"/>
        <w:ind w:left="360" w:firstLine="60"/>
        <w:rPr>
          <w:rFonts w:ascii="Times New Roman" w:hAnsi="Times New Roman" w:cs="Times New Roman"/>
        </w:rPr>
      </w:pPr>
    </w:p>
    <w:p w:rsidR="00C861F5" w:rsidRPr="00C861F5" w:rsidRDefault="00C861F5" w:rsidP="00F22B08">
      <w:pPr>
        <w:pStyle w:val="Default"/>
        <w:numPr>
          <w:ilvl w:val="0"/>
          <w:numId w:val="1"/>
        </w:numPr>
        <w:ind w:left="1080"/>
        <w:rPr>
          <w:rFonts w:ascii="Times New Roman" w:hAnsi="Times New Roman" w:cs="Times New Roman"/>
        </w:rPr>
      </w:pPr>
      <w:proofErr w:type="spellStart"/>
      <w:r w:rsidRPr="00C861F5">
        <w:rPr>
          <w:rFonts w:ascii="Times New Roman" w:hAnsi="Times New Roman" w:cs="Times New Roman"/>
          <w:bCs/>
          <w:u w:val="single"/>
        </w:rPr>
        <w:t>Actionability</w:t>
      </w:r>
      <w:proofErr w:type="spellEnd"/>
      <w:r w:rsidRPr="00C861F5">
        <w:rPr>
          <w:rFonts w:ascii="Times New Roman" w:hAnsi="Times New Roman" w:cs="Times New Roman"/>
          <w:bCs/>
        </w:rPr>
        <w:t xml:space="preserve">. </w:t>
      </w:r>
      <w:r w:rsidRPr="00C861F5">
        <w:rPr>
          <w:rFonts w:ascii="Times New Roman" w:hAnsi="Times New Roman" w:cs="Times New Roman"/>
        </w:rPr>
        <w:t xml:space="preserve"> A guiding question here is </w:t>
      </w:r>
      <w:r w:rsidRPr="00C861F5">
        <w:rPr>
          <w:rFonts w:ascii="Times New Roman" w:hAnsi="Times New Roman" w:cs="Times New Roman"/>
          <w:b/>
        </w:rPr>
        <w:t>“why is the evidence important?</w:t>
      </w:r>
      <w:r w:rsidRPr="00C861F5">
        <w:rPr>
          <w:rFonts w:ascii="Times New Roman" w:hAnsi="Times New Roman" w:cs="Times New Roman"/>
        </w:rPr>
        <w:t xml:space="preserve"> </w:t>
      </w:r>
      <w:r>
        <w:rPr>
          <w:rFonts w:ascii="Times New Roman" w:hAnsi="Times New Roman" w:cs="Times New Roman"/>
        </w:rPr>
        <w:t>….</w:t>
      </w:r>
      <w:r w:rsidRPr="00C861F5">
        <w:rPr>
          <w:rFonts w:ascii="Times New Roman" w:hAnsi="Times New Roman" w:cs="Times New Roman"/>
          <w:b/>
        </w:rPr>
        <w:t>suggest program improvements</w:t>
      </w:r>
      <w:r w:rsidRPr="00C861F5">
        <w:rPr>
          <w:rFonts w:ascii="Times New Roman" w:hAnsi="Times New Roman" w:cs="Times New Roman"/>
        </w:rPr>
        <w:t xml:space="preserve">…… </w:t>
      </w:r>
      <w:r w:rsidRPr="00C861F5">
        <w:rPr>
          <w:rFonts w:ascii="Times New Roman" w:hAnsi="Times New Roman" w:cs="Times New Roman"/>
          <w:b/>
        </w:rPr>
        <w:t>standards of comparison</w:t>
      </w:r>
      <w:r w:rsidRPr="00C861F5">
        <w:rPr>
          <w:rFonts w:ascii="Times New Roman" w:hAnsi="Times New Roman" w:cs="Times New Roman"/>
        </w:rPr>
        <w:t>…… (CAEP Evidence Guide, 2015, p.21).</w:t>
      </w:r>
    </w:p>
    <w:p w:rsidR="00C861F5" w:rsidRDefault="00C861F5">
      <w:pPr>
        <w:rPr>
          <w:rFonts w:ascii="Times New Roman" w:hAnsi="Times New Roman" w:cs="Times New Roman"/>
          <w:sz w:val="24"/>
          <w:szCs w:val="24"/>
        </w:rPr>
      </w:pPr>
    </w:p>
    <w:p w:rsidR="00B41B3E" w:rsidRDefault="00F22B08" w:rsidP="009A6CA9">
      <w:pPr>
        <w:ind w:left="720"/>
        <w:rPr>
          <w:rFonts w:ascii="Times New Roman" w:hAnsi="Times New Roman" w:cs="Times New Roman"/>
          <w:sz w:val="24"/>
          <w:szCs w:val="24"/>
        </w:rPr>
      </w:pPr>
      <w:r>
        <w:rPr>
          <w:rFonts w:ascii="Times New Roman" w:hAnsi="Times New Roman" w:cs="Times New Roman"/>
          <w:sz w:val="24"/>
          <w:szCs w:val="24"/>
          <w:u w:val="single"/>
        </w:rPr>
        <w:t>FINDINGS:</w:t>
      </w:r>
      <w:r w:rsidR="00B41B3E">
        <w:rPr>
          <w:rFonts w:ascii="Times New Roman" w:hAnsi="Times New Roman" w:cs="Times New Roman"/>
          <w:sz w:val="24"/>
          <w:szCs w:val="24"/>
        </w:rPr>
        <w:t xml:space="preserve"> </w:t>
      </w:r>
      <w:r>
        <w:rPr>
          <w:rFonts w:ascii="Times New Roman" w:hAnsi="Times New Roman" w:cs="Times New Roman"/>
          <w:sz w:val="24"/>
          <w:szCs w:val="24"/>
        </w:rPr>
        <w:t xml:space="preserve"> </w:t>
      </w:r>
      <w:r w:rsidR="00B41B3E">
        <w:rPr>
          <w:rFonts w:ascii="Times New Roman" w:hAnsi="Times New Roman" w:cs="Times New Roman"/>
          <w:sz w:val="24"/>
          <w:szCs w:val="24"/>
        </w:rPr>
        <w:t>Programs report rationale for assessment to be aligned with SPA or CAEP Standards.</w:t>
      </w:r>
      <w:r>
        <w:rPr>
          <w:rFonts w:ascii="Times New Roman" w:hAnsi="Times New Roman" w:cs="Times New Roman"/>
          <w:sz w:val="24"/>
          <w:szCs w:val="24"/>
        </w:rPr>
        <w:t xml:space="preserve"> A lack of predictive validity and the need for qualitative data collection is indicated.</w:t>
      </w:r>
    </w:p>
    <w:p w:rsidR="00B41B3E" w:rsidRDefault="00B41B3E">
      <w:pPr>
        <w:rPr>
          <w:rFonts w:ascii="Times New Roman" w:hAnsi="Times New Roman" w:cs="Times New Roman"/>
          <w:sz w:val="24"/>
          <w:szCs w:val="24"/>
        </w:rPr>
      </w:pPr>
    </w:p>
    <w:p w:rsidR="00B41B3E" w:rsidRDefault="00B41B3E">
      <w:pPr>
        <w:rPr>
          <w:rFonts w:ascii="Times New Roman" w:hAnsi="Times New Roman" w:cs="Times New Roman"/>
          <w:sz w:val="24"/>
          <w:szCs w:val="24"/>
        </w:rPr>
      </w:pPr>
    </w:p>
    <w:p w:rsidR="00B41B3E" w:rsidRPr="00C861F5" w:rsidRDefault="00B41B3E" w:rsidP="00B41B3E">
      <w:pPr>
        <w:rPr>
          <w:rFonts w:ascii="Times New Roman" w:eastAsia="Times New Roman" w:hAnsi="Times New Roman" w:cs="Times New Roman"/>
          <w:sz w:val="24"/>
          <w:szCs w:val="24"/>
        </w:rPr>
      </w:pPr>
      <w:r w:rsidRPr="00C861F5">
        <w:rPr>
          <w:rFonts w:ascii="Times New Roman" w:eastAsia="Times New Roman" w:hAnsi="Times New Roman" w:cs="Times New Roman"/>
          <w:b/>
          <w:bCs/>
          <w:sz w:val="24"/>
          <w:szCs w:val="24"/>
        </w:rPr>
        <w:t>Continuous Improvement</w:t>
      </w:r>
    </w:p>
    <w:p w:rsidR="00B41B3E" w:rsidRPr="00C861F5" w:rsidRDefault="00B41B3E" w:rsidP="00F22B08">
      <w:pPr>
        <w:rPr>
          <w:rFonts w:ascii="Times New Roman" w:eastAsia="Times New Roman" w:hAnsi="Times New Roman" w:cs="Times New Roman"/>
          <w:sz w:val="24"/>
          <w:szCs w:val="24"/>
        </w:rPr>
      </w:pPr>
      <w:r w:rsidRPr="00C861F5">
        <w:rPr>
          <w:rFonts w:ascii="Times New Roman" w:eastAsia="Times New Roman" w:hAnsi="Times New Roman" w:cs="Times New Roman"/>
          <w:sz w:val="24"/>
          <w:szCs w:val="24"/>
        </w:rPr>
        <w:t>5.3 </w:t>
      </w:r>
      <w:r w:rsidRPr="00C861F5">
        <w:rPr>
          <w:rFonts w:ascii="Times New Roman" w:eastAsia="Times New Roman" w:hAnsi="Times New Roman" w:cs="Times New Roman"/>
          <w:b/>
          <w:bCs/>
          <w:sz w:val="24"/>
          <w:szCs w:val="24"/>
        </w:rPr>
        <w:t>REQUIRED COMPONENT</w:t>
      </w:r>
      <w:r w:rsidRPr="00C861F5">
        <w:rPr>
          <w:rFonts w:ascii="Times New Roman" w:eastAsia="Times New Roman" w:hAnsi="Times New Roman" w:cs="Times New Roman"/>
          <w:sz w:val="24"/>
          <w:szCs w:val="24"/>
        </w:rPr>
        <w:t> The provider regularly and systematically assesses performance against its goals and relevant standards, tracks results over time, tests innovations and the effects of selection criteria on subsequent progress and completion, and uses results to improve program elements and processes.</w:t>
      </w:r>
    </w:p>
    <w:p w:rsidR="00B41B3E" w:rsidRDefault="00B41B3E" w:rsidP="00B41B3E">
      <w:pPr>
        <w:rPr>
          <w:rFonts w:ascii="Times New Roman" w:eastAsia="Times New Roman" w:hAnsi="Times New Roman" w:cs="Times New Roman"/>
          <w:sz w:val="24"/>
          <w:szCs w:val="24"/>
        </w:rPr>
      </w:pPr>
    </w:p>
    <w:p w:rsidR="00F22B08" w:rsidRDefault="00F22B08" w:rsidP="00B41B3E">
      <w:pPr>
        <w:rPr>
          <w:rFonts w:ascii="Times New Roman" w:eastAsia="Times New Roman" w:hAnsi="Times New Roman" w:cs="Times New Roman"/>
          <w:sz w:val="24"/>
          <w:szCs w:val="24"/>
        </w:rPr>
      </w:pPr>
    </w:p>
    <w:p w:rsidR="00F22B08" w:rsidRDefault="009A6CA9" w:rsidP="009A6CA9">
      <w:pPr>
        <w:ind w:left="360"/>
        <w:rPr>
          <w:rFonts w:ascii="Times New Roman" w:eastAsia="Times New Roman" w:hAnsi="Times New Roman" w:cs="Times New Roman"/>
          <w:sz w:val="24"/>
          <w:szCs w:val="24"/>
        </w:rPr>
      </w:pPr>
      <w:r>
        <w:rPr>
          <w:rFonts w:ascii="Times New Roman" w:hAnsi="Times New Roman" w:cs="Times New Roman"/>
          <w:sz w:val="24"/>
          <w:szCs w:val="24"/>
          <w:u w:val="single"/>
        </w:rPr>
        <w:t>FINDINGS:</w:t>
      </w:r>
      <w:r>
        <w:rPr>
          <w:rFonts w:ascii="Times New Roman" w:hAnsi="Times New Roman" w:cs="Times New Roman"/>
          <w:sz w:val="24"/>
          <w:szCs w:val="24"/>
        </w:rPr>
        <w:t xml:space="preserve">  </w:t>
      </w:r>
      <w:r w:rsidR="00F22B08">
        <w:rPr>
          <w:rFonts w:ascii="Times New Roman" w:eastAsia="Times New Roman" w:hAnsi="Times New Roman" w:cs="Times New Roman"/>
          <w:sz w:val="24"/>
          <w:szCs w:val="24"/>
        </w:rPr>
        <w:t>The YASU-DAR addresses regular and systematic</w:t>
      </w:r>
      <w:r w:rsidR="00096CE6">
        <w:rPr>
          <w:rFonts w:ascii="Times New Roman" w:eastAsia="Times New Roman" w:hAnsi="Times New Roman" w:cs="Times New Roman"/>
          <w:sz w:val="24"/>
          <w:szCs w:val="24"/>
        </w:rPr>
        <w:t xml:space="preserve"> performance assessment, specifically based on goals formulated through data analysis to improve program elements </w:t>
      </w:r>
    </w:p>
    <w:p w:rsidR="00096CE6" w:rsidRDefault="00096CE6" w:rsidP="00096CE6">
      <w:pPr>
        <w:pStyle w:val="ListParagraph"/>
        <w:numPr>
          <w:ilvl w:val="0"/>
          <w:numId w:val="3"/>
        </w:numPr>
        <w:rPr>
          <w:rFonts w:ascii="Calibri" w:hAnsi="Calibri"/>
          <w:i/>
        </w:rPr>
      </w:pPr>
      <w:r w:rsidRPr="00096CE6">
        <w:rPr>
          <w:rFonts w:ascii="Calibri" w:hAnsi="Calibri"/>
          <w:i/>
        </w:rPr>
        <w:t xml:space="preserve">Have the change(s) in response to data that you documented </w:t>
      </w:r>
      <w:r w:rsidRPr="00096CE6">
        <w:rPr>
          <w:rFonts w:ascii="Calibri" w:hAnsi="Calibri"/>
          <w:i/>
          <w:highlight w:val="yellow"/>
        </w:rPr>
        <w:t>last year</w:t>
      </w:r>
      <w:r w:rsidRPr="00096CE6">
        <w:rPr>
          <w:rFonts w:ascii="Calibri" w:hAnsi="Calibri"/>
          <w:i/>
        </w:rPr>
        <w:t xml:space="preserve"> had the desired effect on your program? Please provide specifics referencing prior changes that you submitted in Fall XXX, covering AY XXXX-XXXX.</w:t>
      </w:r>
    </w:p>
    <w:p w:rsidR="00096CE6" w:rsidRPr="00096CE6" w:rsidRDefault="00096CE6" w:rsidP="00096CE6">
      <w:pPr>
        <w:pStyle w:val="ListParagraph"/>
        <w:numPr>
          <w:ilvl w:val="0"/>
          <w:numId w:val="3"/>
        </w:numPr>
        <w:rPr>
          <w:rFonts w:ascii="Calibri" w:hAnsi="Calibri"/>
          <w:i/>
        </w:rPr>
      </w:pPr>
      <w:r w:rsidRPr="00096CE6">
        <w:rPr>
          <w:rFonts w:ascii="Calibri" w:hAnsi="Calibri"/>
          <w:i/>
          <w:sz w:val="22"/>
          <w:szCs w:val="22"/>
        </w:rPr>
        <w:t>What significant findings emerge from your examination of these data?</w:t>
      </w:r>
    </w:p>
    <w:p w:rsidR="00096CE6" w:rsidRPr="00096CE6" w:rsidRDefault="00096CE6" w:rsidP="00096CE6">
      <w:pPr>
        <w:pStyle w:val="ListParagraph"/>
        <w:numPr>
          <w:ilvl w:val="0"/>
          <w:numId w:val="3"/>
        </w:numPr>
        <w:rPr>
          <w:rFonts w:ascii="Calibri" w:hAnsi="Calibri"/>
          <w:i/>
        </w:rPr>
      </w:pPr>
      <w:r w:rsidRPr="00096CE6">
        <w:rPr>
          <w:rFonts w:ascii="Calibri" w:hAnsi="Calibri"/>
          <w:i/>
          <w:sz w:val="22"/>
          <w:szCs w:val="22"/>
        </w:rPr>
        <w:t>How have you involved faculty in your identification of the implications of these data?</w:t>
      </w:r>
    </w:p>
    <w:p w:rsidR="00096CE6" w:rsidRPr="00096CE6" w:rsidRDefault="00096CE6" w:rsidP="00096CE6">
      <w:pPr>
        <w:pStyle w:val="ListParagraph"/>
        <w:numPr>
          <w:ilvl w:val="0"/>
          <w:numId w:val="3"/>
        </w:numPr>
        <w:rPr>
          <w:rFonts w:ascii="Calibri" w:hAnsi="Calibri"/>
          <w:i/>
        </w:rPr>
      </w:pPr>
      <w:r w:rsidRPr="00096CE6">
        <w:rPr>
          <w:rFonts w:ascii="Calibri" w:hAnsi="Calibri"/>
          <w:i/>
          <w:sz w:val="22"/>
          <w:szCs w:val="22"/>
        </w:rPr>
        <w:t>What specific actions will you take in response to these data?</w:t>
      </w:r>
    </w:p>
    <w:p w:rsidR="00096CE6" w:rsidRPr="00096CE6" w:rsidRDefault="00096CE6" w:rsidP="00B41B3E">
      <w:pPr>
        <w:pStyle w:val="ListParagraph"/>
        <w:numPr>
          <w:ilvl w:val="0"/>
          <w:numId w:val="3"/>
        </w:numPr>
        <w:rPr>
          <w:rFonts w:ascii="Calibri" w:hAnsi="Calibri"/>
          <w:i/>
        </w:rPr>
      </w:pPr>
      <w:r w:rsidRPr="00096CE6">
        <w:rPr>
          <w:rFonts w:ascii="Calibri" w:hAnsi="Calibri"/>
          <w:i/>
          <w:sz w:val="22"/>
          <w:szCs w:val="22"/>
        </w:rPr>
        <w:t>Is your program pursuing a multi-year goal? If so, please describe the goal, the data used to measure progress toward the goal, and any program plans under consideration to achieve the goal in the coming academic year.</w:t>
      </w:r>
    </w:p>
    <w:p w:rsidR="00096CE6" w:rsidRDefault="00096CE6" w:rsidP="00B41B3E">
      <w:pPr>
        <w:rPr>
          <w:rFonts w:ascii="Calibri" w:hAnsi="Calibri"/>
          <w:i/>
        </w:rPr>
      </w:pPr>
    </w:p>
    <w:p w:rsidR="00096CE6" w:rsidRPr="00096CE6" w:rsidRDefault="00096CE6" w:rsidP="009A6CA9">
      <w:pPr>
        <w:pStyle w:val="Default"/>
        <w:ind w:left="720"/>
        <w:rPr>
          <w:rFonts w:ascii="Times New Roman" w:hAnsi="Times New Roman" w:cs="Times New Roman"/>
        </w:rPr>
      </w:pPr>
      <w:r w:rsidRPr="00096CE6">
        <w:rPr>
          <w:rFonts w:ascii="Times New Roman" w:hAnsi="Times New Roman" w:cs="Times New Roman"/>
        </w:rPr>
        <w:t>A review of data set a</w:t>
      </w:r>
      <w:r>
        <w:rPr>
          <w:rFonts w:ascii="Times New Roman" w:hAnsi="Times New Roman" w:cs="Times New Roman"/>
        </w:rPr>
        <w:t>cross all programs is completed by TEEB assessment subcommittee reporting details of strengths and areas of concern.</w:t>
      </w:r>
    </w:p>
    <w:p w:rsidR="00096CE6" w:rsidRDefault="00096CE6" w:rsidP="00B41B3E">
      <w:pPr>
        <w:rPr>
          <w:rFonts w:ascii="Times New Roman" w:eastAsia="Times New Roman" w:hAnsi="Times New Roman" w:cs="Times New Roman"/>
          <w:sz w:val="24"/>
          <w:szCs w:val="24"/>
        </w:rPr>
      </w:pPr>
    </w:p>
    <w:p w:rsidR="00096CE6" w:rsidRDefault="00224AA5" w:rsidP="009A6CA9">
      <w:pPr>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POSSIBLE GAPS</w:t>
      </w:r>
      <w:r w:rsidR="00096CE6">
        <w:rPr>
          <w:rFonts w:ascii="Times New Roman" w:eastAsia="Times New Roman" w:hAnsi="Times New Roman" w:cs="Times New Roman"/>
          <w:sz w:val="24"/>
          <w:szCs w:val="24"/>
        </w:rPr>
        <w:t xml:space="preserve">: </w:t>
      </w:r>
    </w:p>
    <w:p w:rsidR="00096CE6" w:rsidRPr="00224AA5" w:rsidRDefault="00096CE6" w:rsidP="00224AA5">
      <w:pPr>
        <w:pStyle w:val="Default"/>
        <w:numPr>
          <w:ilvl w:val="0"/>
          <w:numId w:val="7"/>
        </w:numPr>
      </w:pPr>
      <w:proofErr w:type="gramStart"/>
      <w:r w:rsidRPr="00A425D0">
        <w:rPr>
          <w:rFonts w:ascii="Times New Roman" w:eastAsia="Times New Roman" w:hAnsi="Times New Roman" w:cs="Times New Roman"/>
        </w:rPr>
        <w:t>tracks</w:t>
      </w:r>
      <w:proofErr w:type="gramEnd"/>
      <w:r w:rsidRPr="00A425D0">
        <w:rPr>
          <w:rFonts w:ascii="Times New Roman" w:eastAsia="Times New Roman" w:hAnsi="Times New Roman" w:cs="Times New Roman"/>
        </w:rPr>
        <w:t xml:space="preserve"> results over time </w:t>
      </w:r>
      <w:r w:rsidR="00A425D0">
        <w:t>(How are we tracking over time?)</w:t>
      </w:r>
      <w:proofErr w:type="gramStart"/>
      <w:r w:rsidR="00224AA5">
        <w:t>[</w:t>
      </w:r>
      <w:r w:rsidR="00224AA5" w:rsidRPr="00224AA5">
        <w:t xml:space="preserve"> </w:t>
      </w:r>
      <w:r w:rsidR="00224AA5">
        <w:t>“</w:t>
      </w:r>
      <w:proofErr w:type="gramEnd"/>
      <w:r w:rsidR="00224AA5" w:rsidRPr="00224AA5">
        <w:rPr>
          <w:sz w:val="22"/>
          <w:szCs w:val="22"/>
        </w:rPr>
        <w:t xml:space="preserve">The concerns, which are listed below were identified as </w:t>
      </w:r>
      <w:r w:rsidR="00224AA5" w:rsidRPr="00224AA5">
        <w:rPr>
          <w:i/>
          <w:sz w:val="22"/>
          <w:szCs w:val="22"/>
        </w:rPr>
        <w:t>year-over-year concerns</w:t>
      </w:r>
      <w:r w:rsidR="00224AA5" w:rsidRPr="00224AA5">
        <w:rPr>
          <w:sz w:val="22"/>
          <w:szCs w:val="22"/>
        </w:rPr>
        <w:t xml:space="preserve"> by the interns</w:t>
      </w:r>
      <w:r w:rsidR="00224AA5">
        <w:rPr>
          <w:sz w:val="22"/>
          <w:szCs w:val="22"/>
        </w:rPr>
        <w:t>.”</w:t>
      </w:r>
      <w:r w:rsidR="00224AA5" w:rsidRPr="00224AA5">
        <w:rPr>
          <w:sz w:val="22"/>
          <w:szCs w:val="22"/>
        </w:rPr>
        <w:t>]</w:t>
      </w:r>
    </w:p>
    <w:p w:rsidR="00096CE6" w:rsidRPr="00A425D0" w:rsidRDefault="00096CE6" w:rsidP="00A425D0">
      <w:pPr>
        <w:pStyle w:val="ListParagraph"/>
        <w:numPr>
          <w:ilvl w:val="0"/>
          <w:numId w:val="4"/>
        </w:numPr>
      </w:pPr>
      <w:proofErr w:type="gramStart"/>
      <w:r w:rsidRPr="00A425D0">
        <w:t>tests</w:t>
      </w:r>
      <w:proofErr w:type="gramEnd"/>
      <w:r w:rsidRPr="00A425D0">
        <w:t xml:space="preserve"> innovations and the effects of selection criteria on subsequent progress and completion</w:t>
      </w:r>
      <w:r w:rsidR="00A425D0">
        <w:t xml:space="preserve"> (Status quo or innovations happening?)</w:t>
      </w:r>
    </w:p>
    <w:p w:rsidR="00096CE6" w:rsidRPr="000A60A0" w:rsidRDefault="00096CE6" w:rsidP="00B41B3E">
      <w:pPr>
        <w:pStyle w:val="ListParagraph"/>
        <w:numPr>
          <w:ilvl w:val="0"/>
          <w:numId w:val="4"/>
        </w:numPr>
      </w:pPr>
      <w:proofErr w:type="gramStart"/>
      <w:r w:rsidRPr="00A425D0">
        <w:t>improve</w:t>
      </w:r>
      <w:proofErr w:type="gramEnd"/>
      <w:r w:rsidRPr="00A425D0">
        <w:t xml:space="preserve"> program processes</w:t>
      </w:r>
      <w:r w:rsidR="00A425D0">
        <w:t xml:space="preserve"> (How can we/are we making the process more efficient, valid and reflective?)</w:t>
      </w:r>
    </w:p>
    <w:p w:rsidR="00096CE6" w:rsidRDefault="00096CE6" w:rsidP="00B41B3E">
      <w:pPr>
        <w:rPr>
          <w:rFonts w:ascii="Times New Roman" w:eastAsia="Times New Roman" w:hAnsi="Times New Roman" w:cs="Times New Roman"/>
          <w:sz w:val="24"/>
          <w:szCs w:val="24"/>
        </w:rPr>
      </w:pPr>
    </w:p>
    <w:p w:rsidR="00B41B3E" w:rsidRDefault="00B41B3E" w:rsidP="00F22B08">
      <w:pPr>
        <w:rPr>
          <w:rFonts w:ascii="Times New Roman" w:eastAsia="Times New Roman" w:hAnsi="Times New Roman" w:cs="Times New Roman"/>
          <w:sz w:val="24"/>
          <w:szCs w:val="24"/>
        </w:rPr>
      </w:pPr>
      <w:r w:rsidRPr="00C861F5">
        <w:rPr>
          <w:rFonts w:ascii="Times New Roman" w:eastAsia="Times New Roman" w:hAnsi="Times New Roman" w:cs="Times New Roman"/>
          <w:sz w:val="24"/>
          <w:szCs w:val="24"/>
        </w:rPr>
        <w:t>5.4 </w:t>
      </w:r>
      <w:r w:rsidRPr="00C861F5">
        <w:rPr>
          <w:rFonts w:ascii="Times New Roman" w:eastAsia="Times New Roman" w:hAnsi="Times New Roman" w:cs="Times New Roman"/>
          <w:b/>
          <w:bCs/>
          <w:sz w:val="24"/>
          <w:szCs w:val="24"/>
        </w:rPr>
        <w:t>REQUIRED COMPONENT</w:t>
      </w:r>
      <w:r w:rsidRPr="00C861F5">
        <w:rPr>
          <w:rFonts w:ascii="Times New Roman" w:eastAsia="Times New Roman" w:hAnsi="Times New Roman" w:cs="Times New Roman"/>
          <w:sz w:val="24"/>
          <w:szCs w:val="24"/>
        </w:rPr>
        <w:t xml:space="preserve"> Measures of completer impact, including available outcome data on </w:t>
      </w:r>
    </w:p>
    <w:p w:rsidR="00B41B3E" w:rsidRDefault="00B41B3E" w:rsidP="00F22B08">
      <w:pPr>
        <w:rPr>
          <w:rFonts w:ascii="Times New Roman" w:eastAsia="Times New Roman" w:hAnsi="Times New Roman" w:cs="Times New Roman"/>
          <w:sz w:val="24"/>
          <w:szCs w:val="24"/>
        </w:rPr>
      </w:pPr>
      <w:r w:rsidRPr="00C861F5">
        <w:rPr>
          <w:rFonts w:ascii="Times New Roman" w:eastAsia="Times New Roman" w:hAnsi="Times New Roman" w:cs="Times New Roman"/>
          <w:sz w:val="24"/>
          <w:szCs w:val="24"/>
        </w:rPr>
        <w:t xml:space="preserve">P-12 student growth, are summarized, externally benchmarked, analyzed, shared widely, and acted upon </w:t>
      </w:r>
    </w:p>
    <w:p w:rsidR="00B41B3E" w:rsidRPr="00C861F5" w:rsidRDefault="00B41B3E" w:rsidP="00F22B08">
      <w:pPr>
        <w:rPr>
          <w:rFonts w:ascii="Times New Roman" w:eastAsia="Times New Roman" w:hAnsi="Times New Roman" w:cs="Times New Roman"/>
          <w:sz w:val="24"/>
          <w:szCs w:val="24"/>
        </w:rPr>
      </w:pPr>
      <w:proofErr w:type="gramStart"/>
      <w:r w:rsidRPr="00C861F5">
        <w:rPr>
          <w:rFonts w:ascii="Times New Roman" w:eastAsia="Times New Roman" w:hAnsi="Times New Roman" w:cs="Times New Roman"/>
          <w:sz w:val="24"/>
          <w:szCs w:val="24"/>
        </w:rPr>
        <w:t>in</w:t>
      </w:r>
      <w:proofErr w:type="gramEnd"/>
      <w:r w:rsidRPr="00C861F5">
        <w:rPr>
          <w:rFonts w:ascii="Times New Roman" w:eastAsia="Times New Roman" w:hAnsi="Times New Roman" w:cs="Times New Roman"/>
          <w:sz w:val="24"/>
          <w:szCs w:val="24"/>
        </w:rPr>
        <w:t xml:space="preserve"> decision-making related to programs, resource allocation, and future direction.</w:t>
      </w:r>
    </w:p>
    <w:p w:rsidR="00B41B3E" w:rsidRDefault="00B41B3E" w:rsidP="00B41B3E">
      <w:pPr>
        <w:rPr>
          <w:rFonts w:ascii="Times New Roman" w:eastAsia="Times New Roman" w:hAnsi="Times New Roman" w:cs="Times New Roman"/>
          <w:sz w:val="24"/>
          <w:szCs w:val="24"/>
        </w:rPr>
      </w:pPr>
    </w:p>
    <w:p w:rsidR="009A6CA9" w:rsidRDefault="009A6CA9" w:rsidP="009A6CA9">
      <w:pPr>
        <w:ind w:firstLine="360"/>
        <w:rPr>
          <w:rFonts w:ascii="Times New Roman" w:eastAsia="Times New Roman" w:hAnsi="Times New Roman" w:cs="Times New Roman"/>
          <w:sz w:val="24"/>
          <w:szCs w:val="24"/>
        </w:rPr>
      </w:pPr>
      <w:r w:rsidRPr="00224AA5">
        <w:rPr>
          <w:rFonts w:ascii="Times New Roman" w:eastAsia="Times New Roman" w:hAnsi="Times New Roman" w:cs="Times New Roman"/>
          <w:b/>
          <w:sz w:val="24"/>
          <w:szCs w:val="24"/>
          <w:u w:val="single"/>
        </w:rPr>
        <w:t>IDENTIFIED GAPS</w:t>
      </w:r>
      <w:r>
        <w:rPr>
          <w:rFonts w:ascii="Times New Roman" w:eastAsia="Times New Roman" w:hAnsi="Times New Roman" w:cs="Times New Roman"/>
          <w:sz w:val="24"/>
          <w:szCs w:val="24"/>
        </w:rPr>
        <w:t xml:space="preserve">: </w:t>
      </w:r>
    </w:p>
    <w:p w:rsidR="009A6CA9" w:rsidRPr="009A6CA9" w:rsidRDefault="009A6CA9" w:rsidP="009A6CA9">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from reports on completer impact is not widely available. Return rate is low; little access to this information.</w:t>
      </w:r>
    </w:p>
    <w:p w:rsidR="009A6CA9" w:rsidRPr="009A6CA9" w:rsidRDefault="009A6CA9" w:rsidP="009A6CA9">
      <w:pPr>
        <w:pStyle w:val="Default"/>
        <w:numPr>
          <w:ilvl w:val="0"/>
          <w:numId w:val="6"/>
        </w:numPr>
        <w:rPr>
          <w:rFonts w:ascii="Times New Roman" w:hAnsi="Times New Roman" w:cs="Times New Roman"/>
          <w:sz w:val="22"/>
          <w:szCs w:val="22"/>
        </w:rPr>
      </w:pPr>
      <w:r w:rsidRPr="009A6CA9">
        <w:rPr>
          <w:rFonts w:ascii="Times New Roman" w:hAnsi="Times New Roman" w:cs="Times New Roman"/>
          <w:sz w:val="22"/>
          <w:szCs w:val="22"/>
        </w:rPr>
        <w:t xml:space="preserve">Report 6: First Year Alumni Survey </w:t>
      </w:r>
    </w:p>
    <w:p w:rsidR="009A6CA9" w:rsidRPr="009A6CA9" w:rsidRDefault="009A6CA9" w:rsidP="009A6CA9">
      <w:pPr>
        <w:pStyle w:val="Default"/>
        <w:numPr>
          <w:ilvl w:val="0"/>
          <w:numId w:val="6"/>
        </w:numPr>
        <w:rPr>
          <w:rFonts w:ascii="Times New Roman" w:hAnsi="Times New Roman" w:cs="Times New Roman"/>
          <w:sz w:val="22"/>
          <w:szCs w:val="22"/>
        </w:rPr>
      </w:pPr>
      <w:r w:rsidRPr="009A6CA9">
        <w:rPr>
          <w:rFonts w:ascii="Times New Roman" w:hAnsi="Times New Roman" w:cs="Times New Roman"/>
          <w:sz w:val="22"/>
          <w:szCs w:val="22"/>
        </w:rPr>
        <w:t xml:space="preserve">Report 7: Third Year Alumni Survey </w:t>
      </w:r>
    </w:p>
    <w:p w:rsidR="009A6CA9" w:rsidRPr="009A6CA9" w:rsidRDefault="009A6CA9" w:rsidP="009A6CA9">
      <w:pPr>
        <w:pStyle w:val="ListParagraph"/>
        <w:numPr>
          <w:ilvl w:val="0"/>
          <w:numId w:val="6"/>
        </w:numPr>
      </w:pPr>
      <w:r w:rsidRPr="009A6CA9">
        <w:t>Report 8: First Year Employer Survey</w:t>
      </w:r>
    </w:p>
    <w:p w:rsidR="009A6CA9" w:rsidRDefault="009A6CA9" w:rsidP="009A6CA9">
      <w:pPr>
        <w:ind w:firstLine="720"/>
        <w:rPr>
          <w:rFonts w:ascii="Times New Roman" w:eastAsia="Times New Roman" w:hAnsi="Times New Roman" w:cs="Times New Roman"/>
          <w:sz w:val="24"/>
          <w:szCs w:val="24"/>
        </w:rPr>
      </w:pPr>
    </w:p>
    <w:p w:rsidR="00B41B3E" w:rsidRPr="00C861F5" w:rsidRDefault="00B41B3E" w:rsidP="00F22B08">
      <w:pPr>
        <w:rPr>
          <w:rFonts w:ascii="Times New Roman" w:eastAsia="Times New Roman" w:hAnsi="Times New Roman" w:cs="Times New Roman"/>
          <w:sz w:val="24"/>
          <w:szCs w:val="24"/>
        </w:rPr>
      </w:pPr>
      <w:r w:rsidRPr="00C861F5">
        <w:rPr>
          <w:rFonts w:ascii="Times New Roman" w:eastAsia="Times New Roman" w:hAnsi="Times New Roman" w:cs="Times New Roman"/>
          <w:sz w:val="24"/>
          <w:szCs w:val="24"/>
        </w:rPr>
        <w:t>5.5 The provider assures that appropriate stakeholders, including alumni, employers, practitioners, school and community partners, and others defined by the provider, are involved in program evaluation, improvement, and identification of models of excellence.</w:t>
      </w:r>
    </w:p>
    <w:p w:rsidR="00B41B3E" w:rsidRDefault="00B41B3E" w:rsidP="00B41B3E">
      <w:pPr>
        <w:rPr>
          <w:rFonts w:ascii="Times New Roman" w:eastAsia="Times New Roman" w:hAnsi="Times New Roman" w:cs="Times New Roman"/>
          <w:b/>
          <w:bCs/>
          <w:sz w:val="24"/>
          <w:szCs w:val="24"/>
        </w:rPr>
      </w:pPr>
    </w:p>
    <w:p w:rsidR="00224AA5" w:rsidRPr="000A60A0" w:rsidRDefault="00224AA5" w:rsidP="00224AA5">
      <w:pPr>
        <w:ind w:firstLine="360"/>
        <w:rPr>
          <w:rFonts w:ascii="Times New Roman" w:eastAsia="Times New Roman" w:hAnsi="Times New Roman" w:cs="Times New Roman"/>
          <w:b/>
          <w:sz w:val="24"/>
          <w:szCs w:val="24"/>
        </w:rPr>
      </w:pPr>
      <w:r w:rsidRPr="000A60A0">
        <w:rPr>
          <w:rFonts w:ascii="Times New Roman" w:eastAsia="Times New Roman" w:hAnsi="Times New Roman" w:cs="Times New Roman"/>
          <w:b/>
          <w:sz w:val="24"/>
          <w:szCs w:val="24"/>
          <w:u w:val="single"/>
        </w:rPr>
        <w:t>IDENTIFIED GAPS</w:t>
      </w:r>
      <w:r w:rsidRPr="000A60A0">
        <w:rPr>
          <w:rFonts w:ascii="Times New Roman" w:eastAsia="Times New Roman" w:hAnsi="Times New Roman" w:cs="Times New Roman"/>
          <w:b/>
          <w:sz w:val="24"/>
          <w:szCs w:val="24"/>
        </w:rPr>
        <w:t xml:space="preserve">: </w:t>
      </w:r>
    </w:p>
    <w:p w:rsidR="00737C77" w:rsidRDefault="00737C77" w:rsidP="00737C77">
      <w:pPr>
        <w:pStyle w:val="ListParagraph"/>
        <w:numPr>
          <w:ilvl w:val="0"/>
          <w:numId w:val="8"/>
        </w:numPr>
        <w:rPr>
          <w:bCs/>
        </w:rPr>
      </w:pPr>
      <w:r>
        <w:rPr>
          <w:bCs/>
        </w:rPr>
        <w:t>Evidence for feedback from candidates exists; evidence from “completers” is limited.</w:t>
      </w:r>
    </w:p>
    <w:p w:rsidR="00F22B08" w:rsidRPr="00737C77" w:rsidRDefault="00737C77" w:rsidP="00737C77">
      <w:pPr>
        <w:pStyle w:val="ListParagraph"/>
        <w:numPr>
          <w:ilvl w:val="0"/>
          <w:numId w:val="8"/>
        </w:numPr>
        <w:rPr>
          <w:bCs/>
        </w:rPr>
      </w:pPr>
      <w:r w:rsidRPr="00737C77">
        <w:rPr>
          <w:bCs/>
        </w:rPr>
        <w:t xml:space="preserve">Collaboration with </w:t>
      </w:r>
      <w:r w:rsidRPr="00737C77">
        <w:t>appropriate stakeholders</w:t>
      </w:r>
      <w:r>
        <w:t xml:space="preserve"> is needed beyond alumni, employers, practitioners</w:t>
      </w:r>
    </w:p>
    <w:p w:rsidR="00F22B08" w:rsidRPr="000A60A0" w:rsidRDefault="00737C77" w:rsidP="00B41B3E">
      <w:pPr>
        <w:pStyle w:val="ListParagraph"/>
        <w:numPr>
          <w:ilvl w:val="0"/>
          <w:numId w:val="8"/>
        </w:numPr>
        <w:rPr>
          <w:bCs/>
        </w:rPr>
      </w:pPr>
      <w:r>
        <w:t>More collaboration with appropriate stakeholders</w:t>
      </w:r>
    </w:p>
    <w:p w:rsidR="00F22B08" w:rsidRDefault="00F22B08" w:rsidP="00B41B3E">
      <w:pPr>
        <w:rPr>
          <w:rFonts w:ascii="Times New Roman" w:eastAsia="Times New Roman" w:hAnsi="Times New Roman" w:cs="Times New Roman"/>
          <w:b/>
          <w:bCs/>
          <w:sz w:val="24"/>
          <w:szCs w:val="24"/>
        </w:rPr>
      </w:pPr>
    </w:p>
    <w:p w:rsidR="00B41B3E" w:rsidRPr="00C861F5" w:rsidRDefault="00B41B3E" w:rsidP="00B41B3E">
      <w:pPr>
        <w:rPr>
          <w:rFonts w:ascii="Times New Roman" w:eastAsia="Times New Roman" w:hAnsi="Times New Roman" w:cs="Times New Roman"/>
          <w:sz w:val="24"/>
          <w:szCs w:val="24"/>
        </w:rPr>
      </w:pPr>
      <w:r w:rsidRPr="00C861F5">
        <w:rPr>
          <w:rFonts w:ascii="Times New Roman" w:eastAsia="Times New Roman" w:hAnsi="Times New Roman" w:cs="Times New Roman"/>
          <w:sz w:val="24"/>
          <w:szCs w:val="24"/>
        </w:rPr>
        <w:t>Reference: http://caepnet.org/standards/standard-5</w:t>
      </w:r>
    </w:p>
    <w:bookmarkEnd w:id="0"/>
    <w:p w:rsidR="00B41B3E" w:rsidRPr="00C861F5" w:rsidRDefault="00B41B3E" w:rsidP="00B41B3E">
      <w:pPr>
        <w:rPr>
          <w:rFonts w:ascii="Times New Roman" w:hAnsi="Times New Roman" w:cs="Times New Roman"/>
          <w:sz w:val="24"/>
          <w:szCs w:val="24"/>
        </w:rPr>
      </w:pPr>
    </w:p>
    <w:p w:rsidR="00A8496D" w:rsidRDefault="00A8496D">
      <w:pPr>
        <w:rPr>
          <w:rFonts w:ascii="Times New Roman" w:hAnsi="Times New Roman" w:cs="Times New Roman"/>
          <w:sz w:val="24"/>
          <w:szCs w:val="24"/>
        </w:rPr>
      </w:pPr>
      <w:r>
        <w:rPr>
          <w:rFonts w:ascii="Times New Roman" w:hAnsi="Times New Roman" w:cs="Times New Roman"/>
          <w:sz w:val="24"/>
          <w:szCs w:val="24"/>
        </w:rPr>
        <w:br w:type="page"/>
      </w:r>
    </w:p>
    <w:p w:rsidR="00A8496D" w:rsidRPr="00A8496D" w:rsidRDefault="00A8496D" w:rsidP="00A8496D">
      <w:pPr>
        <w:jc w:val="center"/>
        <w:rPr>
          <w:sz w:val="24"/>
          <w:szCs w:val="24"/>
        </w:rPr>
      </w:pPr>
      <w:r w:rsidRPr="00A8496D">
        <w:rPr>
          <w:sz w:val="24"/>
          <w:szCs w:val="24"/>
        </w:rPr>
        <w:lastRenderedPageBreak/>
        <w:t>Review of Program Measures</w:t>
      </w:r>
    </w:p>
    <w:p w:rsidR="00A8496D" w:rsidRDefault="00A8496D" w:rsidP="00A8496D"/>
    <w:tbl>
      <w:tblPr>
        <w:tblStyle w:val="TableGrid"/>
        <w:tblW w:w="0" w:type="auto"/>
        <w:tblLook w:val="04A0" w:firstRow="1" w:lastRow="0" w:firstColumn="1" w:lastColumn="0" w:noHBand="0" w:noVBand="1"/>
      </w:tblPr>
      <w:tblGrid>
        <w:gridCol w:w="2363"/>
        <w:gridCol w:w="8653"/>
      </w:tblGrid>
      <w:tr w:rsidR="00A8496D" w:rsidTr="00041288">
        <w:tc>
          <w:tcPr>
            <w:tcW w:w="2808" w:type="dxa"/>
            <w:vAlign w:val="center"/>
          </w:tcPr>
          <w:p w:rsidR="00A8496D" w:rsidRPr="00602792" w:rsidRDefault="00A8496D" w:rsidP="00041288">
            <w:pPr>
              <w:jc w:val="center"/>
              <w:rPr>
                <w:b/>
              </w:rPr>
            </w:pPr>
            <w:r w:rsidRPr="00602792">
              <w:rPr>
                <w:b/>
              </w:rPr>
              <w:t>Assessment Measure</w:t>
            </w:r>
          </w:p>
        </w:tc>
        <w:tc>
          <w:tcPr>
            <w:tcW w:w="11808" w:type="dxa"/>
            <w:vAlign w:val="center"/>
          </w:tcPr>
          <w:p w:rsidR="00A8496D" w:rsidRDefault="00A8496D" w:rsidP="00041288">
            <w:pPr>
              <w:jc w:val="center"/>
            </w:pPr>
            <w:r w:rsidRPr="00F35B67">
              <w:rPr>
                <w:b/>
              </w:rPr>
              <w:t>Rationale for Selection</w:t>
            </w:r>
          </w:p>
        </w:tc>
      </w:tr>
      <w:tr w:rsidR="00A8496D" w:rsidTr="00041288">
        <w:tc>
          <w:tcPr>
            <w:tcW w:w="2808" w:type="dxa"/>
          </w:tcPr>
          <w:p w:rsidR="00A8496D" w:rsidRDefault="00A8496D" w:rsidP="00041288"/>
        </w:tc>
        <w:tc>
          <w:tcPr>
            <w:tcW w:w="11808" w:type="dxa"/>
          </w:tcPr>
          <w:p w:rsidR="00A8496D" w:rsidRDefault="00A8496D" w:rsidP="00041288"/>
        </w:tc>
      </w:tr>
      <w:tr w:rsidR="00A8496D" w:rsidTr="00041288">
        <w:tc>
          <w:tcPr>
            <w:tcW w:w="2808" w:type="dxa"/>
          </w:tcPr>
          <w:p w:rsidR="00A8496D" w:rsidRDefault="00A8496D" w:rsidP="00041288"/>
        </w:tc>
        <w:tc>
          <w:tcPr>
            <w:tcW w:w="11808" w:type="dxa"/>
          </w:tcPr>
          <w:p w:rsidR="00A8496D" w:rsidRDefault="00A8496D" w:rsidP="00041288"/>
        </w:tc>
      </w:tr>
      <w:tr w:rsidR="00A8496D" w:rsidTr="00041288">
        <w:tc>
          <w:tcPr>
            <w:tcW w:w="2808" w:type="dxa"/>
          </w:tcPr>
          <w:p w:rsidR="00A8496D" w:rsidRDefault="00A8496D" w:rsidP="00041288"/>
        </w:tc>
        <w:tc>
          <w:tcPr>
            <w:tcW w:w="11808" w:type="dxa"/>
          </w:tcPr>
          <w:p w:rsidR="00A8496D" w:rsidRDefault="00A8496D" w:rsidP="00041288"/>
        </w:tc>
      </w:tr>
      <w:tr w:rsidR="00A8496D" w:rsidTr="00041288">
        <w:tc>
          <w:tcPr>
            <w:tcW w:w="2808" w:type="dxa"/>
          </w:tcPr>
          <w:p w:rsidR="00A8496D" w:rsidRDefault="00A8496D" w:rsidP="00041288"/>
        </w:tc>
        <w:tc>
          <w:tcPr>
            <w:tcW w:w="11808" w:type="dxa"/>
          </w:tcPr>
          <w:p w:rsidR="00A8496D" w:rsidRDefault="00A8496D" w:rsidP="00041288"/>
        </w:tc>
      </w:tr>
      <w:tr w:rsidR="00A8496D" w:rsidTr="00041288">
        <w:tc>
          <w:tcPr>
            <w:tcW w:w="2808" w:type="dxa"/>
          </w:tcPr>
          <w:p w:rsidR="00A8496D" w:rsidRDefault="00A8496D" w:rsidP="00041288"/>
        </w:tc>
        <w:tc>
          <w:tcPr>
            <w:tcW w:w="11808" w:type="dxa"/>
          </w:tcPr>
          <w:p w:rsidR="00A8496D" w:rsidRDefault="00A8496D" w:rsidP="00041288"/>
        </w:tc>
      </w:tr>
      <w:tr w:rsidR="00A8496D" w:rsidTr="00041288">
        <w:tc>
          <w:tcPr>
            <w:tcW w:w="2808" w:type="dxa"/>
          </w:tcPr>
          <w:p w:rsidR="00A8496D" w:rsidRDefault="00A8496D" w:rsidP="00041288"/>
        </w:tc>
        <w:tc>
          <w:tcPr>
            <w:tcW w:w="11808" w:type="dxa"/>
          </w:tcPr>
          <w:p w:rsidR="00A8496D" w:rsidRDefault="00A8496D" w:rsidP="00041288"/>
        </w:tc>
      </w:tr>
      <w:tr w:rsidR="00A8496D" w:rsidTr="00041288">
        <w:tc>
          <w:tcPr>
            <w:tcW w:w="2808" w:type="dxa"/>
          </w:tcPr>
          <w:p w:rsidR="00A8496D" w:rsidRDefault="00A8496D" w:rsidP="00041288"/>
        </w:tc>
        <w:tc>
          <w:tcPr>
            <w:tcW w:w="11808" w:type="dxa"/>
          </w:tcPr>
          <w:p w:rsidR="00A8496D" w:rsidRDefault="00A8496D" w:rsidP="00041288"/>
        </w:tc>
      </w:tr>
      <w:tr w:rsidR="00A8496D" w:rsidTr="00041288">
        <w:tc>
          <w:tcPr>
            <w:tcW w:w="2808" w:type="dxa"/>
          </w:tcPr>
          <w:p w:rsidR="00A8496D" w:rsidRDefault="00A8496D" w:rsidP="00041288"/>
        </w:tc>
        <w:tc>
          <w:tcPr>
            <w:tcW w:w="11808" w:type="dxa"/>
          </w:tcPr>
          <w:p w:rsidR="00A8496D" w:rsidRDefault="00A8496D" w:rsidP="00041288"/>
        </w:tc>
      </w:tr>
    </w:tbl>
    <w:p w:rsidR="00A8496D" w:rsidRDefault="00A8496D" w:rsidP="00A8496D"/>
    <w:p w:rsidR="00A8496D" w:rsidRPr="00A8496D" w:rsidRDefault="00A8496D" w:rsidP="00A8496D">
      <w:pPr>
        <w:pStyle w:val="Default"/>
        <w:rPr>
          <w:sz w:val="22"/>
          <w:szCs w:val="22"/>
        </w:rPr>
      </w:pPr>
      <w:r w:rsidRPr="00F35B67">
        <w:rPr>
          <w:b/>
          <w:sz w:val="22"/>
          <w:szCs w:val="22"/>
        </w:rPr>
        <w:t>Rationale for Selection</w:t>
      </w:r>
      <w:r>
        <w:rPr>
          <w:sz w:val="22"/>
          <w:szCs w:val="22"/>
        </w:rPr>
        <w:t xml:space="preserve">: EPPs should provide the reasons why they chose the evidence they provide; this should be an “intentional and conscious” selection much like the entries in a student portfolio. (CAEP Evidence Guide, 2015, p. 22). </w:t>
      </w:r>
    </w:p>
    <w:p w:rsidR="00A8496D" w:rsidRDefault="00A8496D" w:rsidP="00A8496D"/>
    <w:tbl>
      <w:tblPr>
        <w:tblStyle w:val="TableGrid"/>
        <w:tblW w:w="0" w:type="auto"/>
        <w:tblLayout w:type="fixed"/>
        <w:tblLook w:val="04A0" w:firstRow="1" w:lastRow="0" w:firstColumn="1" w:lastColumn="0" w:noHBand="0" w:noVBand="1"/>
      </w:tblPr>
      <w:tblGrid>
        <w:gridCol w:w="1997"/>
        <w:gridCol w:w="1127"/>
        <w:gridCol w:w="1127"/>
        <w:gridCol w:w="1128"/>
        <w:gridCol w:w="1127"/>
        <w:gridCol w:w="1127"/>
        <w:gridCol w:w="1128"/>
        <w:gridCol w:w="273"/>
        <w:gridCol w:w="854"/>
        <w:gridCol w:w="1128"/>
      </w:tblGrid>
      <w:tr w:rsidR="00A8496D" w:rsidTr="00A8496D">
        <w:trPr>
          <w:trHeight w:val="377"/>
        </w:trPr>
        <w:tc>
          <w:tcPr>
            <w:tcW w:w="1997" w:type="dxa"/>
            <w:vMerge w:val="restart"/>
            <w:shd w:val="clear" w:color="auto" w:fill="FFFFFF" w:themeFill="background1"/>
          </w:tcPr>
          <w:p w:rsidR="00A8496D" w:rsidRDefault="00A8496D" w:rsidP="00041288">
            <w:pPr>
              <w:jc w:val="center"/>
            </w:pPr>
            <w:r w:rsidRPr="00602792">
              <w:rPr>
                <w:b/>
              </w:rPr>
              <w:t>Criteria</w:t>
            </w:r>
            <w:r>
              <w:rPr>
                <w:b/>
              </w:rPr>
              <w:t xml:space="preserve"> for Evidence Collected</w:t>
            </w:r>
          </w:p>
        </w:tc>
        <w:tc>
          <w:tcPr>
            <w:tcW w:w="7037" w:type="dxa"/>
            <w:gridSpan w:val="7"/>
            <w:shd w:val="clear" w:color="auto" w:fill="FFFFFF" w:themeFill="background1"/>
            <w:vAlign w:val="center"/>
          </w:tcPr>
          <w:p w:rsidR="00A8496D" w:rsidRPr="0017538A" w:rsidRDefault="00A8496D" w:rsidP="00041288">
            <w:pPr>
              <w:jc w:val="center"/>
              <w:rPr>
                <w:rFonts w:ascii="Wingdings 2" w:hAnsi="Wingdings 2"/>
                <w:b/>
              </w:rPr>
            </w:pPr>
            <w:r w:rsidRPr="00602792">
              <w:rPr>
                <w:b/>
              </w:rPr>
              <w:t>Assessment Measures</w:t>
            </w:r>
            <w:r>
              <w:rPr>
                <w:b/>
              </w:rPr>
              <w:t xml:space="preserve">       </w:t>
            </w:r>
          </w:p>
        </w:tc>
        <w:tc>
          <w:tcPr>
            <w:tcW w:w="1982" w:type="dxa"/>
            <w:gridSpan w:val="2"/>
            <w:shd w:val="clear" w:color="auto" w:fill="FFFFFF" w:themeFill="background1"/>
            <w:vAlign w:val="center"/>
          </w:tcPr>
          <w:p w:rsidR="00A8496D" w:rsidRPr="00DA3AEC" w:rsidRDefault="00A8496D" w:rsidP="00041288">
            <w:pPr>
              <w:jc w:val="center"/>
              <w:rPr>
                <w:rFonts w:ascii="Wingdings 2" w:hAnsi="Wingdings 2"/>
                <w:b/>
                <w:sz w:val="40"/>
                <w:szCs w:val="40"/>
              </w:rPr>
            </w:pPr>
            <w:r w:rsidRPr="00DA3AEC">
              <w:rPr>
                <w:rFonts w:ascii="Wingdings 2" w:hAnsi="Wingdings 2"/>
                <w:b/>
                <w:sz w:val="40"/>
                <w:szCs w:val="40"/>
              </w:rPr>
              <w:t></w:t>
            </w:r>
            <w:r w:rsidRPr="00DA3AEC">
              <w:rPr>
                <w:rFonts w:ascii="Wingdings 2" w:hAnsi="Wingdings 2"/>
                <w:b/>
                <w:sz w:val="40"/>
                <w:szCs w:val="40"/>
              </w:rPr>
              <w:t></w:t>
            </w:r>
            <w:r w:rsidRPr="00DA3AEC">
              <w:rPr>
                <w:rFonts w:ascii="Wingdings 2" w:hAnsi="Wingdings 2"/>
                <w:b/>
                <w:sz w:val="40"/>
                <w:szCs w:val="40"/>
              </w:rPr>
              <w:t></w:t>
            </w:r>
            <w:r w:rsidRPr="00DA3AEC">
              <w:rPr>
                <w:rFonts w:ascii="Wingdings 2" w:hAnsi="Wingdings 2"/>
                <w:b/>
                <w:sz w:val="40"/>
                <w:szCs w:val="40"/>
              </w:rPr>
              <w:t></w:t>
            </w:r>
            <w:r w:rsidRPr="00DA3AEC">
              <w:rPr>
                <w:rFonts w:ascii="Wingdings 2" w:hAnsi="Wingdings 2"/>
                <w:b/>
                <w:sz w:val="40"/>
                <w:szCs w:val="40"/>
              </w:rPr>
              <w:t></w:t>
            </w:r>
          </w:p>
        </w:tc>
      </w:tr>
      <w:tr w:rsidR="00A8496D" w:rsidTr="00A8496D">
        <w:tc>
          <w:tcPr>
            <w:tcW w:w="1997" w:type="dxa"/>
            <w:vMerge/>
            <w:shd w:val="clear" w:color="auto" w:fill="FFFFFF" w:themeFill="background1"/>
            <w:vAlign w:val="center"/>
          </w:tcPr>
          <w:p w:rsidR="00A8496D" w:rsidRPr="00602792" w:rsidRDefault="00A8496D" w:rsidP="00041288">
            <w:pPr>
              <w:jc w:val="center"/>
              <w:rPr>
                <w:b/>
              </w:rPr>
            </w:pPr>
          </w:p>
        </w:tc>
        <w:tc>
          <w:tcPr>
            <w:tcW w:w="1127" w:type="dxa"/>
            <w:shd w:val="clear" w:color="auto" w:fill="FFFFFF" w:themeFill="background1"/>
          </w:tcPr>
          <w:p w:rsidR="00A8496D" w:rsidRDefault="00A8496D" w:rsidP="00041288"/>
        </w:tc>
        <w:tc>
          <w:tcPr>
            <w:tcW w:w="1127" w:type="dxa"/>
            <w:shd w:val="clear" w:color="auto" w:fill="FFFFFF" w:themeFill="background1"/>
          </w:tcPr>
          <w:p w:rsidR="00A8496D" w:rsidRDefault="00A8496D" w:rsidP="00041288"/>
        </w:tc>
        <w:tc>
          <w:tcPr>
            <w:tcW w:w="1128" w:type="dxa"/>
            <w:shd w:val="clear" w:color="auto" w:fill="FFFFFF" w:themeFill="background1"/>
          </w:tcPr>
          <w:p w:rsidR="00A8496D" w:rsidRDefault="00A8496D" w:rsidP="00041288"/>
        </w:tc>
        <w:tc>
          <w:tcPr>
            <w:tcW w:w="1127" w:type="dxa"/>
            <w:shd w:val="clear" w:color="auto" w:fill="FFFFFF" w:themeFill="background1"/>
          </w:tcPr>
          <w:p w:rsidR="00A8496D" w:rsidRDefault="00A8496D" w:rsidP="00041288"/>
        </w:tc>
        <w:tc>
          <w:tcPr>
            <w:tcW w:w="1127" w:type="dxa"/>
            <w:shd w:val="clear" w:color="auto" w:fill="FFFFFF" w:themeFill="background1"/>
          </w:tcPr>
          <w:p w:rsidR="00A8496D" w:rsidRDefault="00A8496D" w:rsidP="00041288"/>
        </w:tc>
        <w:tc>
          <w:tcPr>
            <w:tcW w:w="1128" w:type="dxa"/>
            <w:shd w:val="clear" w:color="auto" w:fill="FFFFFF" w:themeFill="background1"/>
          </w:tcPr>
          <w:p w:rsidR="00A8496D" w:rsidRDefault="00A8496D" w:rsidP="00041288"/>
        </w:tc>
        <w:tc>
          <w:tcPr>
            <w:tcW w:w="1127" w:type="dxa"/>
            <w:gridSpan w:val="2"/>
            <w:shd w:val="clear" w:color="auto" w:fill="FFFFFF" w:themeFill="background1"/>
          </w:tcPr>
          <w:p w:rsidR="00A8496D" w:rsidRDefault="00A8496D" w:rsidP="00041288"/>
        </w:tc>
        <w:tc>
          <w:tcPr>
            <w:tcW w:w="1128" w:type="dxa"/>
            <w:shd w:val="clear" w:color="auto" w:fill="FFFFFF" w:themeFill="background1"/>
          </w:tcPr>
          <w:p w:rsidR="00A8496D" w:rsidRDefault="00A8496D" w:rsidP="00041288"/>
        </w:tc>
      </w:tr>
      <w:tr w:rsidR="00A8496D" w:rsidTr="00A8496D">
        <w:tc>
          <w:tcPr>
            <w:tcW w:w="1997" w:type="dxa"/>
            <w:shd w:val="clear" w:color="auto" w:fill="FBD4B4" w:themeFill="accent6" w:themeFillTint="66"/>
          </w:tcPr>
          <w:p w:rsidR="00A8496D" w:rsidRPr="00602792" w:rsidRDefault="00A8496D" w:rsidP="00041288">
            <w:pPr>
              <w:rPr>
                <w:b/>
              </w:rPr>
            </w:pPr>
            <w:r w:rsidRPr="00602792">
              <w:rPr>
                <w:b/>
              </w:rPr>
              <w:t>Validity</w:t>
            </w:r>
          </w:p>
        </w:tc>
        <w:tc>
          <w:tcPr>
            <w:tcW w:w="9019" w:type="dxa"/>
            <w:gridSpan w:val="9"/>
            <w:shd w:val="clear" w:color="auto" w:fill="FBD4B4" w:themeFill="accent6" w:themeFillTint="66"/>
          </w:tcPr>
          <w:p w:rsidR="00A8496D" w:rsidRDefault="00A8496D" w:rsidP="00041288"/>
        </w:tc>
      </w:tr>
      <w:tr w:rsidR="00A8496D" w:rsidTr="00A8496D">
        <w:tc>
          <w:tcPr>
            <w:tcW w:w="1997" w:type="dxa"/>
          </w:tcPr>
          <w:p w:rsidR="00A8496D" w:rsidRDefault="00A8496D" w:rsidP="00041288">
            <w:r>
              <w:t>Construct Validity</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tcPr>
          <w:p w:rsidR="00A8496D" w:rsidRDefault="00A8496D" w:rsidP="00041288">
            <w:r>
              <w:t>Content Validity</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tcPr>
          <w:p w:rsidR="00A8496D" w:rsidRDefault="00A8496D" w:rsidP="00041288">
            <w:r>
              <w:t>Predictive Validity</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tcPr>
          <w:p w:rsidR="00A8496D" w:rsidRDefault="00A8496D" w:rsidP="00041288">
            <w:r>
              <w:t>Face Validity</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shd w:val="clear" w:color="auto" w:fill="FBD4B4" w:themeFill="accent6" w:themeFillTint="66"/>
          </w:tcPr>
          <w:p w:rsidR="00A8496D" w:rsidRPr="00602792" w:rsidRDefault="00A8496D" w:rsidP="00041288">
            <w:pPr>
              <w:rPr>
                <w:b/>
              </w:rPr>
            </w:pPr>
            <w:r w:rsidRPr="00602792">
              <w:rPr>
                <w:b/>
              </w:rPr>
              <w:t>Relevance</w:t>
            </w:r>
          </w:p>
        </w:tc>
        <w:tc>
          <w:tcPr>
            <w:tcW w:w="9019" w:type="dxa"/>
            <w:gridSpan w:val="9"/>
            <w:shd w:val="clear" w:color="auto" w:fill="FBD4B4" w:themeFill="accent6" w:themeFillTint="66"/>
          </w:tcPr>
          <w:p w:rsidR="00A8496D" w:rsidRDefault="00A8496D" w:rsidP="00041288"/>
        </w:tc>
      </w:tr>
      <w:tr w:rsidR="00A8496D" w:rsidTr="00A8496D">
        <w:tc>
          <w:tcPr>
            <w:tcW w:w="1997" w:type="dxa"/>
          </w:tcPr>
          <w:p w:rsidR="00A8496D" w:rsidRDefault="00A8496D" w:rsidP="00041288">
            <w:r>
              <w:t>Connection to a CAEP Standard</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tcPr>
          <w:p w:rsidR="00A8496D" w:rsidRDefault="00A8496D" w:rsidP="00041288">
            <w:r>
              <w:t>Course work/Experience align to assessment</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shd w:val="clear" w:color="auto" w:fill="FBD4B4" w:themeFill="accent6" w:themeFillTint="66"/>
          </w:tcPr>
          <w:p w:rsidR="00A8496D" w:rsidRPr="00602792" w:rsidRDefault="00A8496D" w:rsidP="00041288">
            <w:pPr>
              <w:rPr>
                <w:b/>
              </w:rPr>
            </w:pPr>
            <w:r w:rsidRPr="00602792">
              <w:rPr>
                <w:b/>
              </w:rPr>
              <w:t>Representative</w:t>
            </w:r>
          </w:p>
        </w:tc>
        <w:tc>
          <w:tcPr>
            <w:tcW w:w="9019" w:type="dxa"/>
            <w:gridSpan w:val="9"/>
            <w:shd w:val="clear" w:color="auto" w:fill="FBD4B4" w:themeFill="accent6" w:themeFillTint="66"/>
          </w:tcPr>
          <w:p w:rsidR="00A8496D" w:rsidRDefault="00A8496D" w:rsidP="00041288"/>
        </w:tc>
      </w:tr>
      <w:tr w:rsidR="00A8496D" w:rsidTr="00A8496D">
        <w:tc>
          <w:tcPr>
            <w:tcW w:w="1997" w:type="dxa"/>
          </w:tcPr>
          <w:p w:rsidR="00A8496D" w:rsidRDefault="00A8496D" w:rsidP="00041288">
            <w:r>
              <w:t>Evidence is typical and potentially generalizable</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shd w:val="clear" w:color="auto" w:fill="FBD4B4" w:themeFill="accent6" w:themeFillTint="66"/>
          </w:tcPr>
          <w:p w:rsidR="00A8496D" w:rsidRPr="00602792" w:rsidRDefault="00A8496D" w:rsidP="00041288">
            <w:pPr>
              <w:rPr>
                <w:b/>
              </w:rPr>
            </w:pPr>
            <w:r w:rsidRPr="00602792">
              <w:rPr>
                <w:b/>
              </w:rPr>
              <w:t>Cumulative</w:t>
            </w:r>
          </w:p>
        </w:tc>
        <w:tc>
          <w:tcPr>
            <w:tcW w:w="9019" w:type="dxa"/>
            <w:gridSpan w:val="9"/>
            <w:shd w:val="clear" w:color="auto" w:fill="FBD4B4" w:themeFill="accent6" w:themeFillTint="66"/>
          </w:tcPr>
          <w:p w:rsidR="00A8496D" w:rsidRDefault="00A8496D" w:rsidP="00041288"/>
        </w:tc>
      </w:tr>
      <w:tr w:rsidR="00A8496D" w:rsidTr="00A8496D">
        <w:tc>
          <w:tcPr>
            <w:tcW w:w="1997" w:type="dxa"/>
          </w:tcPr>
          <w:p w:rsidR="00A8496D" w:rsidRDefault="00A8496D" w:rsidP="00041288">
            <w:r>
              <w:t>Triangulation of data/Multiple Measures in place</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tcPr>
          <w:p w:rsidR="00A8496D" w:rsidRDefault="00A8496D" w:rsidP="00041288">
            <w:r>
              <w:t>Qualitative – data collection Method</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shd w:val="clear" w:color="auto" w:fill="FBD4B4" w:themeFill="accent6" w:themeFillTint="66"/>
          </w:tcPr>
          <w:p w:rsidR="00A8496D" w:rsidRPr="00602792" w:rsidRDefault="00A8496D" w:rsidP="00041288">
            <w:pPr>
              <w:rPr>
                <w:b/>
              </w:rPr>
            </w:pPr>
            <w:r w:rsidRPr="00602792">
              <w:rPr>
                <w:b/>
              </w:rPr>
              <w:t>Fair</w:t>
            </w:r>
          </w:p>
        </w:tc>
        <w:tc>
          <w:tcPr>
            <w:tcW w:w="9019" w:type="dxa"/>
            <w:gridSpan w:val="9"/>
            <w:shd w:val="clear" w:color="auto" w:fill="FBD4B4" w:themeFill="accent6" w:themeFillTint="66"/>
          </w:tcPr>
          <w:p w:rsidR="00A8496D" w:rsidRDefault="00A8496D" w:rsidP="00041288"/>
        </w:tc>
      </w:tr>
      <w:tr w:rsidR="00A8496D" w:rsidTr="00A8496D">
        <w:tc>
          <w:tcPr>
            <w:tcW w:w="1997" w:type="dxa"/>
          </w:tcPr>
          <w:p w:rsidR="00A8496D" w:rsidRDefault="00A8496D" w:rsidP="00041288">
            <w:r>
              <w:t>Free from Bias</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tcPr>
          <w:p w:rsidR="00A8496D" w:rsidRDefault="00A8496D" w:rsidP="00041288">
            <w:r>
              <w:t>Range of Perspectives</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shd w:val="clear" w:color="auto" w:fill="FBD4B4" w:themeFill="accent6" w:themeFillTint="66"/>
          </w:tcPr>
          <w:p w:rsidR="00A8496D" w:rsidRPr="00602792" w:rsidRDefault="00A8496D" w:rsidP="00041288">
            <w:pPr>
              <w:rPr>
                <w:b/>
              </w:rPr>
            </w:pPr>
            <w:r w:rsidRPr="00602792">
              <w:rPr>
                <w:b/>
              </w:rPr>
              <w:t>Robust</w:t>
            </w:r>
          </w:p>
        </w:tc>
        <w:tc>
          <w:tcPr>
            <w:tcW w:w="9019" w:type="dxa"/>
            <w:gridSpan w:val="9"/>
            <w:shd w:val="clear" w:color="auto" w:fill="FBD4B4" w:themeFill="accent6" w:themeFillTint="66"/>
          </w:tcPr>
          <w:p w:rsidR="00A8496D" w:rsidRDefault="00A8496D" w:rsidP="00041288"/>
        </w:tc>
      </w:tr>
      <w:tr w:rsidR="00A8496D" w:rsidTr="00A8496D">
        <w:tc>
          <w:tcPr>
            <w:tcW w:w="1997" w:type="dxa"/>
          </w:tcPr>
          <w:p w:rsidR="00A8496D" w:rsidRDefault="00A8496D" w:rsidP="00041288">
            <w:r>
              <w:t>Direct and compelling evidence</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r w:rsidR="00A8496D" w:rsidTr="00A8496D">
        <w:tc>
          <w:tcPr>
            <w:tcW w:w="1997" w:type="dxa"/>
            <w:shd w:val="clear" w:color="auto" w:fill="FBD4B4" w:themeFill="accent6" w:themeFillTint="66"/>
          </w:tcPr>
          <w:p w:rsidR="00A8496D" w:rsidRPr="00602792" w:rsidRDefault="00A8496D" w:rsidP="00041288">
            <w:pPr>
              <w:rPr>
                <w:b/>
              </w:rPr>
            </w:pPr>
            <w:r w:rsidRPr="00602792">
              <w:rPr>
                <w:b/>
              </w:rPr>
              <w:t>Actionable</w:t>
            </w:r>
          </w:p>
        </w:tc>
        <w:tc>
          <w:tcPr>
            <w:tcW w:w="9019" w:type="dxa"/>
            <w:gridSpan w:val="9"/>
            <w:shd w:val="clear" w:color="auto" w:fill="FBD4B4" w:themeFill="accent6" w:themeFillTint="66"/>
          </w:tcPr>
          <w:p w:rsidR="00A8496D" w:rsidRDefault="00A8496D" w:rsidP="00041288"/>
        </w:tc>
      </w:tr>
      <w:tr w:rsidR="00A8496D" w:rsidTr="00A8496D">
        <w:tc>
          <w:tcPr>
            <w:tcW w:w="1997" w:type="dxa"/>
          </w:tcPr>
          <w:p w:rsidR="00A8496D" w:rsidRDefault="00A8496D" w:rsidP="00041288">
            <w:r>
              <w:t>Support program evaluation decisions</w:t>
            </w:r>
          </w:p>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tcPr>
          <w:p w:rsidR="00A8496D" w:rsidRDefault="00A8496D" w:rsidP="00041288"/>
        </w:tc>
        <w:tc>
          <w:tcPr>
            <w:tcW w:w="1127" w:type="dxa"/>
          </w:tcPr>
          <w:p w:rsidR="00A8496D" w:rsidRDefault="00A8496D" w:rsidP="00041288"/>
        </w:tc>
        <w:tc>
          <w:tcPr>
            <w:tcW w:w="1128" w:type="dxa"/>
          </w:tcPr>
          <w:p w:rsidR="00A8496D" w:rsidRDefault="00A8496D" w:rsidP="00041288"/>
        </w:tc>
        <w:tc>
          <w:tcPr>
            <w:tcW w:w="1127" w:type="dxa"/>
            <w:gridSpan w:val="2"/>
          </w:tcPr>
          <w:p w:rsidR="00A8496D" w:rsidRDefault="00A8496D" w:rsidP="00041288"/>
        </w:tc>
        <w:tc>
          <w:tcPr>
            <w:tcW w:w="1128" w:type="dxa"/>
          </w:tcPr>
          <w:p w:rsidR="00A8496D" w:rsidRDefault="00A8496D" w:rsidP="00041288"/>
        </w:tc>
      </w:tr>
    </w:tbl>
    <w:p w:rsidR="00A8496D" w:rsidRDefault="00A8496D" w:rsidP="00A8496D"/>
    <w:p w:rsidR="00A8496D" w:rsidRDefault="00A8496D" w:rsidP="00A8496D">
      <w:pPr>
        <w:pStyle w:val="Default"/>
        <w:rPr>
          <w:sz w:val="22"/>
          <w:szCs w:val="22"/>
        </w:rPr>
      </w:pPr>
      <w:r>
        <w:rPr>
          <w:sz w:val="22"/>
          <w:szCs w:val="22"/>
        </w:rPr>
        <w:lastRenderedPageBreak/>
        <w:t xml:space="preserve">Evaluations typically make use of multiple measures rather than a single test, but key questions about validity, including the following, apply to TPP evaluation: </w:t>
      </w:r>
    </w:p>
    <w:p w:rsidR="00A8496D" w:rsidRDefault="00A8496D" w:rsidP="00A8496D">
      <w:pPr>
        <w:pStyle w:val="Default"/>
        <w:rPr>
          <w:sz w:val="22"/>
          <w:szCs w:val="22"/>
        </w:rPr>
      </w:pPr>
    </w:p>
    <w:p w:rsidR="00A8496D" w:rsidRDefault="00A8496D" w:rsidP="00A8496D">
      <w:pPr>
        <w:pStyle w:val="Default"/>
        <w:numPr>
          <w:ilvl w:val="0"/>
          <w:numId w:val="7"/>
        </w:numPr>
        <w:rPr>
          <w:sz w:val="22"/>
          <w:szCs w:val="22"/>
        </w:rPr>
      </w:pPr>
      <w:r>
        <w:rPr>
          <w:sz w:val="22"/>
          <w:szCs w:val="22"/>
        </w:rPr>
        <w:t xml:space="preserve">To what extent does the evaluation measure what it claims to measure? </w:t>
      </w:r>
    </w:p>
    <w:p w:rsidR="00A8496D" w:rsidRDefault="00A8496D" w:rsidP="00A8496D">
      <w:pPr>
        <w:pStyle w:val="Default"/>
        <w:ind w:left="720" w:firstLine="720"/>
        <w:rPr>
          <w:sz w:val="22"/>
          <w:szCs w:val="22"/>
        </w:rPr>
      </w:pPr>
      <w:r>
        <w:rPr>
          <w:sz w:val="22"/>
          <w:szCs w:val="22"/>
        </w:rPr>
        <w:t xml:space="preserve">(This is sometimes referred to as </w:t>
      </w:r>
      <w:r w:rsidRPr="00FC51DB">
        <w:rPr>
          <w:b/>
          <w:i/>
          <w:iCs/>
          <w:sz w:val="22"/>
          <w:szCs w:val="22"/>
        </w:rPr>
        <w:t>construct validity</w:t>
      </w:r>
      <w:r>
        <w:rPr>
          <w:i/>
          <w:iCs/>
          <w:sz w:val="22"/>
          <w:szCs w:val="22"/>
        </w:rPr>
        <w:t>.</w:t>
      </w:r>
      <w:r>
        <w:rPr>
          <w:sz w:val="22"/>
          <w:szCs w:val="22"/>
        </w:rPr>
        <w:t xml:space="preserve">) </w:t>
      </w:r>
    </w:p>
    <w:p w:rsidR="00A8496D" w:rsidRDefault="00A8496D" w:rsidP="00A8496D">
      <w:pPr>
        <w:pStyle w:val="Default"/>
        <w:numPr>
          <w:ilvl w:val="0"/>
          <w:numId w:val="7"/>
        </w:numPr>
        <w:rPr>
          <w:sz w:val="22"/>
          <w:szCs w:val="22"/>
        </w:rPr>
      </w:pPr>
      <w:r>
        <w:rPr>
          <w:sz w:val="22"/>
          <w:szCs w:val="22"/>
        </w:rPr>
        <w:t xml:space="preserve">Are the right attributes being measured in the right balance? </w:t>
      </w:r>
    </w:p>
    <w:p w:rsidR="00A8496D" w:rsidRDefault="00A8496D" w:rsidP="00A8496D">
      <w:pPr>
        <w:pStyle w:val="Default"/>
        <w:ind w:left="1080" w:firstLine="360"/>
        <w:rPr>
          <w:sz w:val="22"/>
          <w:szCs w:val="22"/>
        </w:rPr>
      </w:pPr>
      <w:r>
        <w:rPr>
          <w:sz w:val="22"/>
          <w:szCs w:val="22"/>
        </w:rPr>
        <w:t xml:space="preserve">(This is sometimes referred to as </w:t>
      </w:r>
      <w:r w:rsidRPr="00FC51DB">
        <w:rPr>
          <w:b/>
          <w:i/>
          <w:iCs/>
          <w:sz w:val="22"/>
          <w:szCs w:val="22"/>
        </w:rPr>
        <w:t>content validity</w:t>
      </w:r>
      <w:r>
        <w:rPr>
          <w:i/>
          <w:iCs/>
          <w:sz w:val="22"/>
          <w:szCs w:val="22"/>
        </w:rPr>
        <w:t>.</w:t>
      </w:r>
      <w:r>
        <w:rPr>
          <w:sz w:val="22"/>
          <w:szCs w:val="22"/>
        </w:rPr>
        <w:t xml:space="preserve">) </w:t>
      </w:r>
    </w:p>
    <w:p w:rsidR="00A8496D" w:rsidRDefault="00A8496D" w:rsidP="00A8496D">
      <w:pPr>
        <w:pStyle w:val="Default"/>
        <w:numPr>
          <w:ilvl w:val="0"/>
          <w:numId w:val="7"/>
        </w:numPr>
        <w:rPr>
          <w:sz w:val="22"/>
          <w:szCs w:val="22"/>
        </w:rPr>
      </w:pPr>
      <w:r>
        <w:rPr>
          <w:sz w:val="22"/>
          <w:szCs w:val="22"/>
        </w:rPr>
        <w:t xml:space="preserve">Is there evidence that teachers graduating from highly rated TPPs prove more effective in the classroom? </w:t>
      </w:r>
    </w:p>
    <w:p w:rsidR="00A8496D" w:rsidRDefault="00A8496D" w:rsidP="00A8496D">
      <w:pPr>
        <w:pStyle w:val="Default"/>
        <w:ind w:left="720" w:firstLine="720"/>
        <w:rPr>
          <w:sz w:val="22"/>
          <w:szCs w:val="22"/>
        </w:rPr>
      </w:pPr>
      <w:r>
        <w:rPr>
          <w:sz w:val="22"/>
          <w:szCs w:val="22"/>
        </w:rPr>
        <w:t xml:space="preserve">(This is sometimes referred to as </w:t>
      </w:r>
      <w:r w:rsidRPr="00FC51DB">
        <w:rPr>
          <w:b/>
          <w:i/>
          <w:iCs/>
          <w:sz w:val="22"/>
          <w:szCs w:val="22"/>
        </w:rPr>
        <w:t>predictive validity</w:t>
      </w:r>
      <w:r>
        <w:rPr>
          <w:i/>
          <w:iCs/>
          <w:sz w:val="22"/>
          <w:szCs w:val="22"/>
        </w:rPr>
        <w:t>.</w:t>
      </w:r>
      <w:r>
        <w:rPr>
          <w:sz w:val="22"/>
          <w:szCs w:val="22"/>
        </w:rPr>
        <w:t xml:space="preserve">) </w:t>
      </w:r>
    </w:p>
    <w:p w:rsidR="00A8496D" w:rsidRDefault="00A8496D" w:rsidP="00A8496D">
      <w:pPr>
        <w:pStyle w:val="Default"/>
        <w:numPr>
          <w:ilvl w:val="0"/>
          <w:numId w:val="7"/>
        </w:numPr>
        <w:rPr>
          <w:sz w:val="22"/>
          <w:szCs w:val="22"/>
        </w:rPr>
      </w:pPr>
      <w:r>
        <w:rPr>
          <w:sz w:val="22"/>
          <w:szCs w:val="22"/>
        </w:rPr>
        <w:t xml:space="preserve">Is a measure subjectively viewed as being important and relevant to assessing TPPs? </w:t>
      </w:r>
    </w:p>
    <w:p w:rsidR="00A8496D" w:rsidRDefault="00A8496D" w:rsidP="00A8496D">
      <w:pPr>
        <w:pStyle w:val="Default"/>
        <w:ind w:left="720" w:firstLine="720"/>
        <w:rPr>
          <w:sz w:val="22"/>
          <w:szCs w:val="22"/>
        </w:rPr>
      </w:pPr>
      <w:r>
        <w:rPr>
          <w:sz w:val="22"/>
          <w:szCs w:val="22"/>
        </w:rPr>
        <w:t xml:space="preserve">(This is sometimes referred to as </w:t>
      </w:r>
      <w:r w:rsidRPr="00FC51DB">
        <w:rPr>
          <w:b/>
          <w:i/>
          <w:iCs/>
          <w:sz w:val="22"/>
          <w:szCs w:val="22"/>
        </w:rPr>
        <w:t>face validity</w:t>
      </w:r>
      <w:r>
        <w:rPr>
          <w:i/>
          <w:iCs/>
          <w:sz w:val="22"/>
          <w:szCs w:val="22"/>
        </w:rPr>
        <w:t>.</w:t>
      </w:r>
      <w:r>
        <w:rPr>
          <w:sz w:val="22"/>
          <w:szCs w:val="22"/>
        </w:rPr>
        <w:t xml:space="preserve">) </w:t>
      </w:r>
    </w:p>
    <w:p w:rsidR="00A8496D" w:rsidRPr="007F2A63" w:rsidRDefault="00A8496D" w:rsidP="00A8496D">
      <w:pPr>
        <w:pStyle w:val="Default"/>
        <w:ind w:firstLine="720"/>
        <w:rPr>
          <w:sz w:val="22"/>
          <w:szCs w:val="22"/>
        </w:rPr>
      </w:pPr>
      <w:r>
        <w:rPr>
          <w:sz w:val="22"/>
          <w:szCs w:val="22"/>
        </w:rPr>
        <w:t xml:space="preserve"> (CAEP Evidence Guide, 2015, p.17). </w:t>
      </w:r>
    </w:p>
    <w:p w:rsidR="00A8496D" w:rsidRDefault="00A8496D" w:rsidP="00A8496D">
      <w:pPr>
        <w:pStyle w:val="Default"/>
      </w:pPr>
    </w:p>
    <w:p w:rsidR="00A8496D" w:rsidRDefault="00A8496D" w:rsidP="00A8496D">
      <w:pPr>
        <w:pStyle w:val="Default"/>
        <w:rPr>
          <w:sz w:val="22"/>
          <w:szCs w:val="22"/>
        </w:rPr>
      </w:pPr>
      <w:r>
        <w:rPr>
          <w:b/>
          <w:bCs/>
          <w:sz w:val="22"/>
          <w:szCs w:val="22"/>
        </w:rPr>
        <w:t xml:space="preserve">Representativeness.  </w:t>
      </w:r>
      <w:r>
        <w:rPr>
          <w:sz w:val="22"/>
          <w:szCs w:val="22"/>
        </w:rPr>
        <w:t>Any measure put forward should be typical of an underlying situation or condition, not an isolated case…..There are occasions when a "purposeful" sample is preferable or necessary, a sample that is designed to meet a particular and intentionally limited objective. This approach might be appropriate when access to data are limited, or when issues of practicality intrude…….</w:t>
      </w:r>
      <w:r w:rsidRPr="00FC51DB">
        <w:rPr>
          <w:b/>
          <w:sz w:val="22"/>
          <w:szCs w:val="22"/>
        </w:rPr>
        <w:t>The guiding question for this principle should always be “is the evidence drawn from situations that are typical and potentially generalizable?</w:t>
      </w:r>
      <w:r>
        <w:rPr>
          <w:sz w:val="22"/>
          <w:szCs w:val="22"/>
        </w:rPr>
        <w:t>” All evidence should be drawn from situations that are typical (CAEP Evidence Guide, 2015, p.19).</w:t>
      </w:r>
    </w:p>
    <w:p w:rsidR="00A8496D" w:rsidRDefault="00A8496D" w:rsidP="00A8496D">
      <w:pPr>
        <w:pStyle w:val="Default"/>
      </w:pPr>
    </w:p>
    <w:p w:rsidR="00A8496D" w:rsidRPr="00F35B67" w:rsidRDefault="00A8496D" w:rsidP="00A8496D">
      <w:pPr>
        <w:pStyle w:val="Default"/>
      </w:pPr>
      <w:r>
        <w:rPr>
          <w:b/>
          <w:bCs/>
          <w:sz w:val="22"/>
          <w:szCs w:val="22"/>
        </w:rPr>
        <w:t xml:space="preserve">Cumulativeness.  </w:t>
      </w:r>
      <w:r>
        <w:t xml:space="preserve"> </w:t>
      </w:r>
      <w:r>
        <w:rPr>
          <w:sz w:val="22"/>
          <w:szCs w:val="22"/>
        </w:rPr>
        <w:t xml:space="preserve">Measures gain credibility as additional sources or methods for generating them are employed. The resulting </w:t>
      </w:r>
      <w:r w:rsidRPr="00F35B67">
        <w:rPr>
          <w:b/>
          <w:sz w:val="22"/>
          <w:szCs w:val="22"/>
        </w:rPr>
        <w:t>triangulation</w:t>
      </w:r>
      <w:r>
        <w:rPr>
          <w:sz w:val="22"/>
          <w:szCs w:val="22"/>
        </w:rPr>
        <w:t xml:space="preserve"> helps guard against the inevitable flaws associated with any one approach……</w:t>
      </w:r>
      <w:r w:rsidRPr="00F35B67">
        <w:t xml:space="preserve"> </w:t>
      </w:r>
      <w:r>
        <w:rPr>
          <w:sz w:val="22"/>
          <w:szCs w:val="22"/>
        </w:rPr>
        <w:t xml:space="preserve">The EPP should provide an explanation as to the way these measures are reinforcing and, if they are not, an explanation for that lack of congruence. </w:t>
      </w:r>
      <w:r>
        <w:t xml:space="preserve">  </w:t>
      </w:r>
      <w:r>
        <w:rPr>
          <w:sz w:val="22"/>
          <w:szCs w:val="22"/>
        </w:rPr>
        <w:t xml:space="preserve">Providers using </w:t>
      </w:r>
      <w:r w:rsidRPr="00F35B67">
        <w:rPr>
          <w:b/>
          <w:sz w:val="22"/>
          <w:szCs w:val="22"/>
        </w:rPr>
        <w:t>qualitative methods</w:t>
      </w:r>
      <w:r>
        <w:rPr>
          <w:sz w:val="22"/>
          <w:szCs w:val="22"/>
        </w:rPr>
        <w:t xml:space="preserve"> to analyze qualitative data (e.g., candidate reflections and journals, mentor teacher qualitative feedback, etc.) should </w:t>
      </w:r>
      <w:r w:rsidRPr="00F35B67">
        <w:rPr>
          <w:b/>
          <w:sz w:val="22"/>
          <w:szCs w:val="22"/>
        </w:rPr>
        <w:t>describe the method used to analyze those data</w:t>
      </w:r>
      <w:r>
        <w:rPr>
          <w:sz w:val="22"/>
          <w:szCs w:val="22"/>
        </w:rPr>
        <w:t>. Usually this involves triangulation of the data using one or more methods (CAEP Evidence Guide, 2015, p.19).</w:t>
      </w:r>
    </w:p>
    <w:p w:rsidR="00A8496D" w:rsidRDefault="00A8496D" w:rsidP="00A8496D">
      <w:pPr>
        <w:pStyle w:val="Default"/>
      </w:pPr>
    </w:p>
    <w:p w:rsidR="00A8496D" w:rsidRDefault="00A8496D" w:rsidP="00A8496D">
      <w:pPr>
        <w:pStyle w:val="Default"/>
        <w:rPr>
          <w:sz w:val="22"/>
          <w:szCs w:val="22"/>
        </w:rPr>
      </w:pPr>
      <w:r>
        <w:rPr>
          <w:b/>
          <w:bCs/>
          <w:sz w:val="22"/>
          <w:szCs w:val="22"/>
        </w:rPr>
        <w:t xml:space="preserve">Fairness.  </w:t>
      </w:r>
      <w:r>
        <w:rPr>
          <w:sz w:val="22"/>
          <w:szCs w:val="22"/>
        </w:rPr>
        <w:t xml:space="preserve">Measures should be </w:t>
      </w:r>
      <w:r w:rsidRPr="00F35B67">
        <w:rPr>
          <w:b/>
          <w:sz w:val="22"/>
          <w:szCs w:val="22"/>
        </w:rPr>
        <w:t>free from bias</w:t>
      </w:r>
      <w:r>
        <w:rPr>
          <w:sz w:val="22"/>
          <w:szCs w:val="22"/>
        </w:rPr>
        <w:t xml:space="preserve"> and be able to be justly applied by any potential user or observer……</w:t>
      </w:r>
      <w:r w:rsidRPr="00F35B67">
        <w:rPr>
          <w:sz w:val="22"/>
          <w:szCs w:val="22"/>
        </w:rPr>
        <w:t xml:space="preserve"> </w:t>
      </w:r>
      <w:r>
        <w:rPr>
          <w:sz w:val="22"/>
          <w:szCs w:val="22"/>
        </w:rPr>
        <w:t xml:space="preserve">Another aspect of fairness is that a sound set of measures should respect a </w:t>
      </w:r>
      <w:r w:rsidRPr="00F35B67">
        <w:rPr>
          <w:b/>
          <w:sz w:val="22"/>
          <w:szCs w:val="22"/>
        </w:rPr>
        <w:t>range of client perspectives including the program, the student, the employer, and the state or jurisdiction</w:t>
      </w:r>
      <w:r>
        <w:rPr>
          <w:sz w:val="22"/>
          <w:szCs w:val="22"/>
        </w:rPr>
        <w:t xml:space="preserve"> (CAEP Evidence Guide, 2015, p.20-21).</w:t>
      </w:r>
    </w:p>
    <w:p w:rsidR="00A8496D" w:rsidRDefault="00A8496D" w:rsidP="00A8496D">
      <w:pPr>
        <w:pStyle w:val="Default"/>
      </w:pPr>
    </w:p>
    <w:p w:rsidR="00A8496D" w:rsidRDefault="00A8496D" w:rsidP="00A8496D">
      <w:pPr>
        <w:pStyle w:val="Default"/>
        <w:rPr>
          <w:sz w:val="22"/>
          <w:szCs w:val="22"/>
        </w:rPr>
      </w:pPr>
      <w:r>
        <w:rPr>
          <w:b/>
          <w:bCs/>
          <w:sz w:val="22"/>
          <w:szCs w:val="22"/>
        </w:rPr>
        <w:t xml:space="preserve">Robustness.  </w:t>
      </w:r>
      <w:r>
        <w:rPr>
          <w:sz w:val="22"/>
          <w:szCs w:val="22"/>
        </w:rPr>
        <w:t>A robust body of evidence will lead to the same set of conclusions in the face of a good deal of “noise” or measurement error. Triangulation and replication will bolster the credibility of any set of measures in this respect</w:t>
      </w:r>
      <w:r w:rsidRPr="00F35B67">
        <w:rPr>
          <w:b/>
          <w:sz w:val="22"/>
          <w:szCs w:val="22"/>
        </w:rPr>
        <w:t>. A guiding question here should be, “is the evidence direct and compelling?”</w:t>
      </w:r>
      <w:r>
        <w:rPr>
          <w:sz w:val="22"/>
          <w:szCs w:val="22"/>
        </w:rPr>
        <w:t xml:space="preserve"> (CAEP Evidence Guide, 2015, p.21).</w:t>
      </w:r>
    </w:p>
    <w:p w:rsidR="00A8496D" w:rsidRPr="00602792" w:rsidRDefault="00A8496D" w:rsidP="00A8496D">
      <w:pPr>
        <w:pStyle w:val="Default"/>
        <w:rPr>
          <w:sz w:val="22"/>
          <w:szCs w:val="22"/>
        </w:rPr>
      </w:pPr>
      <w:r>
        <w:rPr>
          <w:sz w:val="22"/>
          <w:szCs w:val="22"/>
        </w:rPr>
        <w:t xml:space="preserve"> </w:t>
      </w:r>
    </w:p>
    <w:p w:rsidR="00A8496D" w:rsidRDefault="00A8496D" w:rsidP="00A8496D">
      <w:pPr>
        <w:pStyle w:val="Default"/>
        <w:rPr>
          <w:sz w:val="22"/>
          <w:szCs w:val="22"/>
        </w:rPr>
      </w:pPr>
      <w:proofErr w:type="spellStart"/>
      <w:r>
        <w:rPr>
          <w:b/>
          <w:bCs/>
          <w:sz w:val="22"/>
          <w:szCs w:val="22"/>
        </w:rPr>
        <w:t>Actionability</w:t>
      </w:r>
      <w:proofErr w:type="spellEnd"/>
      <w:r>
        <w:rPr>
          <w:b/>
          <w:bCs/>
          <w:sz w:val="22"/>
          <w:szCs w:val="22"/>
        </w:rPr>
        <w:t xml:space="preserve">. </w:t>
      </w:r>
      <w:r>
        <w:t xml:space="preserve"> </w:t>
      </w:r>
      <w:r>
        <w:rPr>
          <w:sz w:val="22"/>
          <w:szCs w:val="22"/>
        </w:rPr>
        <w:t>A guiding question here is “</w:t>
      </w:r>
      <w:r w:rsidRPr="00602792">
        <w:rPr>
          <w:b/>
          <w:sz w:val="22"/>
          <w:szCs w:val="22"/>
        </w:rPr>
        <w:t>why is the evidence important</w:t>
      </w:r>
      <w:r>
        <w:rPr>
          <w:sz w:val="22"/>
          <w:szCs w:val="22"/>
        </w:rPr>
        <w:t xml:space="preserve">? The intent of the evidence presented should be clear and the evidence should directly </w:t>
      </w:r>
      <w:r w:rsidRPr="00602792">
        <w:rPr>
          <w:b/>
          <w:sz w:val="22"/>
          <w:szCs w:val="22"/>
        </w:rPr>
        <w:t>suggest program improvements</w:t>
      </w:r>
      <w:r>
        <w:rPr>
          <w:sz w:val="22"/>
          <w:szCs w:val="22"/>
        </w:rPr>
        <w:t>……</w:t>
      </w:r>
      <w:proofErr w:type="spellStart"/>
      <w:r>
        <w:rPr>
          <w:sz w:val="22"/>
          <w:szCs w:val="22"/>
        </w:rPr>
        <w:t>Actionability</w:t>
      </w:r>
      <w:proofErr w:type="spellEnd"/>
      <w:r>
        <w:rPr>
          <w:sz w:val="22"/>
          <w:szCs w:val="22"/>
        </w:rPr>
        <w:t xml:space="preserve"> also depends on the evidence having clear </w:t>
      </w:r>
      <w:r w:rsidRPr="00602792">
        <w:rPr>
          <w:b/>
          <w:sz w:val="22"/>
          <w:szCs w:val="22"/>
        </w:rPr>
        <w:t>standards of comparison</w:t>
      </w:r>
      <w:r>
        <w:rPr>
          <w:sz w:val="22"/>
          <w:szCs w:val="22"/>
        </w:rPr>
        <w:t>……Measures can be compared across programs, against peers, against established “best practices,” against established goals, against national or state norms, or over time (CAEP Evidence Guide, 2015, p.21).</w:t>
      </w:r>
    </w:p>
    <w:p w:rsidR="00B41B3E" w:rsidRPr="00C861F5" w:rsidRDefault="00B41B3E" w:rsidP="00B41B3E">
      <w:pPr>
        <w:rPr>
          <w:rFonts w:ascii="Times New Roman" w:hAnsi="Times New Roman" w:cs="Times New Roman"/>
          <w:sz w:val="24"/>
          <w:szCs w:val="24"/>
        </w:rPr>
      </w:pPr>
    </w:p>
    <w:sectPr w:rsidR="00B41B3E" w:rsidRPr="00C861F5" w:rsidSect="00257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7B98"/>
    <w:multiLevelType w:val="hybridMultilevel"/>
    <w:tmpl w:val="82B83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602B26"/>
    <w:multiLevelType w:val="hybridMultilevel"/>
    <w:tmpl w:val="FB2EE01E"/>
    <w:lvl w:ilvl="0" w:tplc="04090001">
      <w:start w:val="1"/>
      <w:numFmt w:val="bullet"/>
      <w:lvlText w:val=""/>
      <w:lvlJc w:val="left"/>
      <w:pPr>
        <w:ind w:left="1080" w:hanging="360"/>
      </w:pPr>
      <w:rPr>
        <w:rFonts w:ascii="Symbol" w:hAnsi="Symbol" w:hint="default"/>
      </w:rPr>
    </w:lvl>
    <w:lvl w:ilvl="1" w:tplc="874AA428">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C543F2"/>
    <w:multiLevelType w:val="hybridMultilevel"/>
    <w:tmpl w:val="E13C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3FA2"/>
    <w:multiLevelType w:val="hybridMultilevel"/>
    <w:tmpl w:val="CBB2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5727C"/>
    <w:multiLevelType w:val="hybridMultilevel"/>
    <w:tmpl w:val="BD306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D238A4"/>
    <w:multiLevelType w:val="hybridMultilevel"/>
    <w:tmpl w:val="78A4A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D04D19"/>
    <w:multiLevelType w:val="hybridMultilevel"/>
    <w:tmpl w:val="1EBC7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B7A92"/>
    <w:multiLevelType w:val="hybridMultilevel"/>
    <w:tmpl w:val="17487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F27257"/>
    <w:multiLevelType w:val="hybridMultilevel"/>
    <w:tmpl w:val="7A82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1F"/>
    <w:rsid w:val="00096CE6"/>
    <w:rsid w:val="000A60A0"/>
    <w:rsid w:val="0017476D"/>
    <w:rsid w:val="00224AA5"/>
    <w:rsid w:val="002571FE"/>
    <w:rsid w:val="003B7DF8"/>
    <w:rsid w:val="0070610C"/>
    <w:rsid w:val="00737C77"/>
    <w:rsid w:val="009A6CA9"/>
    <w:rsid w:val="00A425D0"/>
    <w:rsid w:val="00A513EC"/>
    <w:rsid w:val="00A8496D"/>
    <w:rsid w:val="00B41B3E"/>
    <w:rsid w:val="00C861F5"/>
    <w:rsid w:val="00D8361F"/>
    <w:rsid w:val="00F2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FC5FA-CCDE-41EE-AA7E-D132D92C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61F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96CE6"/>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96D"/>
    <w:rPr>
      <w:rFonts w:ascii="Tahoma" w:hAnsi="Tahoma" w:cs="Tahoma"/>
      <w:sz w:val="16"/>
      <w:szCs w:val="16"/>
    </w:rPr>
  </w:style>
  <w:style w:type="character" w:customStyle="1" w:styleId="BalloonTextChar">
    <w:name w:val="Balloon Text Char"/>
    <w:basedOn w:val="DefaultParagraphFont"/>
    <w:link w:val="BalloonText"/>
    <w:uiPriority w:val="99"/>
    <w:semiHidden/>
    <w:rsid w:val="00A8496D"/>
    <w:rPr>
      <w:rFonts w:ascii="Tahoma" w:hAnsi="Tahoma" w:cs="Tahoma"/>
      <w:sz w:val="16"/>
      <w:szCs w:val="16"/>
    </w:rPr>
  </w:style>
  <w:style w:type="table" w:styleId="TableGrid">
    <w:name w:val="Table Grid"/>
    <w:basedOn w:val="TableNormal"/>
    <w:uiPriority w:val="59"/>
    <w:rsid w:val="00A8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445B-F71B-404D-B270-59A07449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Mello, Diane L.</cp:lastModifiedBy>
  <cp:revision>8</cp:revision>
  <cp:lastPrinted>2016-03-17T00:52:00Z</cp:lastPrinted>
  <dcterms:created xsi:type="dcterms:W3CDTF">2016-03-16T23:04:00Z</dcterms:created>
  <dcterms:modified xsi:type="dcterms:W3CDTF">2016-07-22T12:48:00Z</dcterms:modified>
</cp:coreProperties>
</file>