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3BEC" w14:textId="1CF5770D" w:rsidR="008C0886" w:rsidRPr="005A722C" w:rsidRDefault="0015702F" w:rsidP="00804B18">
      <w:pPr>
        <w:spacing w:before="100" w:beforeAutospacing="1" w:after="100" w:afterAutospacing="1"/>
        <w:jc w:val="center"/>
        <w:rPr>
          <w:rFonts w:asciiTheme="minorHAnsi" w:hAnsiTheme="minorHAnsi" w:cstheme="minorHAnsi"/>
          <w:b/>
          <w:bCs/>
        </w:rPr>
      </w:pPr>
      <w:r w:rsidRPr="005A722C">
        <w:rPr>
          <w:rFonts w:asciiTheme="minorHAnsi" w:hAnsiTheme="minorHAnsi" w:cstheme="minorHAnsi"/>
          <w:b/>
          <w:bCs/>
        </w:rPr>
        <w:t>Lec</w:t>
      </w:r>
      <w:r w:rsidR="005D747E" w:rsidRPr="005A722C">
        <w:rPr>
          <w:rFonts w:asciiTheme="minorHAnsi" w:hAnsiTheme="minorHAnsi" w:cstheme="minorHAnsi"/>
          <w:b/>
          <w:bCs/>
        </w:rPr>
        <w:t>t</w:t>
      </w:r>
      <w:r w:rsidRPr="005A722C">
        <w:rPr>
          <w:rFonts w:asciiTheme="minorHAnsi" w:hAnsiTheme="minorHAnsi" w:cstheme="minorHAnsi"/>
          <w:b/>
          <w:bCs/>
        </w:rPr>
        <w:t xml:space="preserve">urer Promotion </w:t>
      </w:r>
      <w:r w:rsidR="008C0886" w:rsidRPr="005A722C">
        <w:rPr>
          <w:rFonts w:asciiTheme="minorHAnsi" w:hAnsiTheme="minorHAnsi" w:cstheme="minorHAnsi"/>
          <w:b/>
          <w:bCs/>
        </w:rPr>
        <w:t>Standards for Evaluation</w:t>
      </w:r>
    </w:p>
    <w:p w14:paraId="0D830F6A" w14:textId="6CA54FDB" w:rsidR="0015702F" w:rsidRPr="005A722C" w:rsidRDefault="0076183A" w:rsidP="008C0886">
      <w:pPr>
        <w:spacing w:before="100" w:beforeAutospacing="1" w:after="100" w:afterAutospacing="1"/>
        <w:rPr>
          <w:rFonts w:asciiTheme="minorHAnsi" w:hAnsiTheme="minorHAnsi" w:cstheme="minorHAnsi"/>
        </w:rPr>
      </w:pPr>
      <w:r w:rsidRPr="005A722C">
        <w:rPr>
          <w:rFonts w:asciiTheme="minorHAnsi" w:hAnsiTheme="minorHAnsi" w:cstheme="minorHAnsi"/>
        </w:rPr>
        <w:t xml:space="preserve">In accordance with </w:t>
      </w:r>
      <w:r w:rsidR="00B733AE" w:rsidRPr="005A722C">
        <w:rPr>
          <w:rFonts w:asciiTheme="minorHAnsi" w:hAnsiTheme="minorHAnsi" w:cstheme="minorHAnsi"/>
        </w:rPr>
        <w:t>TU policy, 02-01.05 – Policy on the Appointment, Rank and Promotion of Lecturers, f</w:t>
      </w:r>
      <w:r w:rsidR="005D747E" w:rsidRPr="005A722C">
        <w:rPr>
          <w:rFonts w:asciiTheme="minorHAnsi" w:hAnsiTheme="minorHAnsi" w:cstheme="minorHAnsi"/>
        </w:rPr>
        <w:t xml:space="preserve">aculty who have taught full-time for at least 6 (six) years at an accredited university may apply for </w:t>
      </w:r>
      <w:r w:rsidR="00804B18" w:rsidRPr="005A722C">
        <w:rPr>
          <w:rFonts w:asciiTheme="minorHAnsi" w:hAnsiTheme="minorHAnsi" w:cstheme="minorHAnsi"/>
        </w:rPr>
        <w:t>promotion</w:t>
      </w:r>
      <w:r w:rsidR="005D747E" w:rsidRPr="005A722C">
        <w:rPr>
          <w:rFonts w:asciiTheme="minorHAnsi" w:hAnsiTheme="minorHAnsi" w:cstheme="minorHAnsi"/>
        </w:rPr>
        <w:t xml:space="preserve"> from Lecturer I to Lecturer II.</w:t>
      </w:r>
    </w:p>
    <w:p w14:paraId="0A60BEED" w14:textId="7D712EE4" w:rsidR="005D747E" w:rsidRPr="005A722C" w:rsidRDefault="005D747E" w:rsidP="008C0886">
      <w:pPr>
        <w:spacing w:before="100" w:beforeAutospacing="1" w:after="100" w:afterAutospacing="1"/>
        <w:rPr>
          <w:rFonts w:asciiTheme="minorHAnsi" w:hAnsiTheme="minorHAnsi" w:cstheme="minorHAnsi"/>
        </w:rPr>
      </w:pPr>
      <w:r w:rsidRPr="005A722C">
        <w:rPr>
          <w:rFonts w:asciiTheme="minorHAnsi" w:hAnsiTheme="minorHAnsi" w:cstheme="minorHAnsi"/>
        </w:rPr>
        <w:t>Faculty who have taught full-time for at least 10 (ten) years at an accredited university and have achieved the rank of Lecturer II may apply for promotion to Lecturer III.</w:t>
      </w:r>
    </w:p>
    <w:p w14:paraId="34DDECC6" w14:textId="167E735F" w:rsidR="005D747E" w:rsidRPr="005A722C" w:rsidRDefault="005D747E" w:rsidP="008C0886">
      <w:pPr>
        <w:spacing w:before="100" w:beforeAutospacing="1" w:after="100" w:afterAutospacing="1"/>
        <w:rPr>
          <w:rFonts w:asciiTheme="minorHAnsi" w:hAnsiTheme="minorHAnsi" w:cstheme="minorHAnsi"/>
        </w:rPr>
      </w:pPr>
      <w:r w:rsidRPr="005A722C">
        <w:rPr>
          <w:rFonts w:asciiTheme="minorHAnsi" w:hAnsiTheme="minorHAnsi" w:cstheme="minorHAnsi"/>
        </w:rPr>
        <w:t xml:space="preserve">To be considered for promotion, lecturers must provide </w:t>
      </w:r>
      <w:r w:rsidR="00B25DF8" w:rsidRPr="005A722C">
        <w:rPr>
          <w:rFonts w:asciiTheme="minorHAnsi" w:hAnsiTheme="minorHAnsi" w:cstheme="minorHAnsi"/>
        </w:rPr>
        <w:t>evidence of teaching</w:t>
      </w:r>
      <w:r w:rsidR="00840D45" w:rsidRPr="005A722C">
        <w:rPr>
          <w:rFonts w:asciiTheme="minorHAnsi" w:hAnsiTheme="minorHAnsi" w:cstheme="minorHAnsi"/>
        </w:rPr>
        <w:t>/advising</w:t>
      </w:r>
      <w:r w:rsidR="00B25DF8" w:rsidRPr="005A722C">
        <w:rPr>
          <w:rFonts w:asciiTheme="minorHAnsi" w:hAnsiTheme="minorHAnsi" w:cstheme="minorHAnsi"/>
        </w:rPr>
        <w:t xml:space="preserve"> excellence, sustained scholarship</w:t>
      </w:r>
      <w:r w:rsidR="0087753B" w:rsidRPr="005A722C">
        <w:rPr>
          <w:rFonts w:asciiTheme="minorHAnsi" w:hAnsiTheme="minorHAnsi" w:cstheme="minorHAnsi"/>
        </w:rPr>
        <w:t xml:space="preserve"> or accepted professional</w:t>
      </w:r>
      <w:r w:rsidR="00B25DF8" w:rsidRPr="005A722C">
        <w:rPr>
          <w:rFonts w:asciiTheme="minorHAnsi" w:hAnsiTheme="minorHAnsi" w:cstheme="minorHAnsi"/>
        </w:rPr>
        <w:t xml:space="preserve"> activities, and of sustained service activities across the evaluation period commensurate with the expectations set forth in the faculty member’s Annual Plan.</w:t>
      </w:r>
    </w:p>
    <w:p w14:paraId="6C722541" w14:textId="0FE4F62E" w:rsidR="008B4ED9" w:rsidRPr="005A722C" w:rsidRDefault="008B4ED9" w:rsidP="008C0886">
      <w:pPr>
        <w:spacing w:before="100" w:beforeAutospacing="1" w:after="100" w:afterAutospacing="1"/>
        <w:rPr>
          <w:rFonts w:asciiTheme="minorHAnsi" w:hAnsiTheme="minorHAnsi" w:cstheme="minorHAnsi"/>
          <w:b/>
          <w:bCs/>
          <w:u w:val="single"/>
        </w:rPr>
      </w:pPr>
      <w:r w:rsidRPr="005A722C">
        <w:rPr>
          <w:rFonts w:asciiTheme="minorHAnsi" w:hAnsiTheme="minorHAnsi" w:cstheme="minorHAnsi"/>
          <w:b/>
          <w:bCs/>
          <w:caps/>
        </w:rPr>
        <w:t>Teaching and Advising</w:t>
      </w:r>
    </w:p>
    <w:p w14:paraId="2100DC90" w14:textId="1E8678F3" w:rsidR="008C0886" w:rsidRPr="005A722C" w:rsidRDefault="008C0886" w:rsidP="005A722C">
      <w:pPr>
        <w:spacing w:before="100" w:beforeAutospacing="1" w:after="100" w:afterAutospacing="1"/>
        <w:ind w:left="720"/>
        <w:rPr>
          <w:rFonts w:asciiTheme="minorHAnsi" w:hAnsiTheme="minorHAnsi" w:cstheme="minorHAnsi"/>
          <w:b/>
          <w:bCs/>
        </w:rPr>
      </w:pPr>
      <w:r w:rsidRPr="005A722C">
        <w:rPr>
          <w:rFonts w:asciiTheme="minorHAnsi" w:hAnsiTheme="minorHAnsi" w:cstheme="minorHAnsi"/>
          <w:b/>
          <w:bCs/>
        </w:rPr>
        <w:t xml:space="preserve">Standards for Advancement to Lecturer II </w:t>
      </w:r>
    </w:p>
    <w:p w14:paraId="054C11C7" w14:textId="6E12FF5B" w:rsidR="00A7183A" w:rsidRPr="005A722C" w:rsidRDefault="00A7183A"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rPr>
        <w:t xml:space="preserve">To </w:t>
      </w:r>
      <w:r w:rsidR="00A0306D" w:rsidRPr="005A722C">
        <w:rPr>
          <w:rFonts w:asciiTheme="minorHAnsi" w:hAnsiTheme="minorHAnsi" w:cstheme="minorHAnsi"/>
        </w:rPr>
        <w:t xml:space="preserve">be considered for promotion </w:t>
      </w:r>
      <w:r w:rsidR="00840D45" w:rsidRPr="005A722C">
        <w:rPr>
          <w:rFonts w:asciiTheme="minorHAnsi" w:hAnsiTheme="minorHAnsi" w:cstheme="minorHAnsi"/>
        </w:rPr>
        <w:t>t</w:t>
      </w:r>
      <w:r w:rsidRPr="005A722C">
        <w:rPr>
          <w:rFonts w:asciiTheme="minorHAnsi" w:hAnsiTheme="minorHAnsi" w:cstheme="minorHAnsi"/>
        </w:rPr>
        <w:t>o Lecturer II, faculty must provide evidence of excellence in both teaching and advising across the evaluation period.</w:t>
      </w:r>
      <w:r w:rsidR="00C73B9F" w:rsidRPr="005A722C">
        <w:rPr>
          <w:rFonts w:asciiTheme="minorHAnsi" w:hAnsiTheme="minorHAnsi" w:cstheme="minorHAnsi"/>
        </w:rPr>
        <w:t xml:space="preserve"> This evidence shall include:</w:t>
      </w:r>
      <w:r w:rsidRPr="005A722C">
        <w:rPr>
          <w:rFonts w:asciiTheme="minorHAnsi" w:hAnsiTheme="minorHAnsi" w:cstheme="minorHAnsi"/>
        </w:rPr>
        <w:t xml:space="preserve"> </w:t>
      </w:r>
    </w:p>
    <w:p w14:paraId="0F832FFD" w14:textId="57345D30" w:rsidR="00A7183A" w:rsidRPr="005A722C" w:rsidRDefault="00C73B9F" w:rsidP="005A722C">
      <w:pPr>
        <w:pStyle w:val="ListParagraph"/>
        <w:numPr>
          <w:ilvl w:val="0"/>
          <w:numId w:val="10"/>
        </w:numPr>
        <w:spacing w:before="100" w:beforeAutospacing="1" w:after="100" w:afterAutospacing="1"/>
        <w:ind w:left="1440"/>
        <w:rPr>
          <w:rFonts w:asciiTheme="minorHAnsi" w:hAnsiTheme="minorHAnsi" w:cstheme="minorHAnsi"/>
        </w:rPr>
      </w:pPr>
      <w:r w:rsidRPr="005A722C">
        <w:rPr>
          <w:rFonts w:asciiTheme="minorHAnsi" w:hAnsiTheme="minorHAnsi" w:cstheme="minorHAnsi"/>
        </w:rPr>
        <w:t>E</w:t>
      </w:r>
      <w:r w:rsidR="008C0886" w:rsidRPr="005A722C">
        <w:rPr>
          <w:rFonts w:asciiTheme="minorHAnsi" w:hAnsiTheme="minorHAnsi" w:cstheme="minorHAnsi"/>
        </w:rPr>
        <w:t>xemplary peer</w:t>
      </w:r>
      <w:r w:rsidR="0015702F" w:rsidRPr="005A722C">
        <w:rPr>
          <w:rFonts w:asciiTheme="minorHAnsi" w:hAnsiTheme="minorHAnsi" w:cstheme="minorHAnsi"/>
        </w:rPr>
        <w:t xml:space="preserve"> and student</w:t>
      </w:r>
      <w:r w:rsidR="008C0886" w:rsidRPr="005A722C">
        <w:rPr>
          <w:rFonts w:asciiTheme="minorHAnsi" w:hAnsiTheme="minorHAnsi" w:cstheme="minorHAnsi"/>
        </w:rPr>
        <w:t xml:space="preserve"> evaluation</w:t>
      </w:r>
      <w:r w:rsidR="00EB29C7" w:rsidRPr="005A722C">
        <w:rPr>
          <w:rFonts w:asciiTheme="minorHAnsi" w:hAnsiTheme="minorHAnsi" w:cstheme="minorHAnsi"/>
        </w:rPr>
        <w:t>s</w:t>
      </w:r>
      <w:r w:rsidR="008C0886" w:rsidRPr="005A722C">
        <w:rPr>
          <w:rFonts w:asciiTheme="minorHAnsi" w:hAnsiTheme="minorHAnsi" w:cstheme="minorHAnsi"/>
        </w:rPr>
        <w:t xml:space="preserve"> for each year of the evaluation period</w:t>
      </w:r>
      <w:r w:rsidR="00AD7B91" w:rsidRPr="005A722C">
        <w:rPr>
          <w:rFonts w:asciiTheme="minorHAnsi" w:hAnsiTheme="minorHAnsi" w:cstheme="minorHAnsi"/>
        </w:rPr>
        <w:t>,</w:t>
      </w:r>
      <w:r w:rsidR="0015702F" w:rsidRPr="005A722C">
        <w:rPr>
          <w:rFonts w:asciiTheme="minorHAnsi" w:hAnsiTheme="minorHAnsi" w:cstheme="minorHAnsi"/>
        </w:rPr>
        <w:t xml:space="preserve"> </w:t>
      </w:r>
    </w:p>
    <w:p w14:paraId="78EC4A97" w14:textId="054A12CE" w:rsidR="00AD7B91" w:rsidRPr="005A722C" w:rsidRDefault="0015702F" w:rsidP="005A722C">
      <w:pPr>
        <w:pStyle w:val="ListParagraph"/>
        <w:numPr>
          <w:ilvl w:val="0"/>
          <w:numId w:val="10"/>
        </w:numPr>
        <w:spacing w:before="100" w:beforeAutospacing="1" w:after="100" w:afterAutospacing="1"/>
        <w:ind w:left="1440"/>
        <w:rPr>
          <w:rFonts w:asciiTheme="minorHAnsi" w:hAnsiTheme="minorHAnsi" w:cstheme="minorHAnsi"/>
        </w:rPr>
      </w:pPr>
      <w:r w:rsidRPr="005A722C">
        <w:rPr>
          <w:rFonts w:asciiTheme="minorHAnsi" w:hAnsiTheme="minorHAnsi" w:cstheme="minorHAnsi"/>
        </w:rPr>
        <w:t>Excellence</w:t>
      </w:r>
      <w:r w:rsidR="00A7183A" w:rsidRPr="005A722C">
        <w:rPr>
          <w:rFonts w:asciiTheme="minorHAnsi" w:hAnsiTheme="minorHAnsi" w:cstheme="minorHAnsi"/>
        </w:rPr>
        <w:t xml:space="preserve"> in </w:t>
      </w:r>
      <w:r w:rsidR="008C0886" w:rsidRPr="005A722C">
        <w:rPr>
          <w:rFonts w:asciiTheme="minorHAnsi" w:hAnsiTheme="minorHAnsi" w:cstheme="minorHAnsi"/>
        </w:rPr>
        <w:t>advising</w:t>
      </w:r>
      <w:r w:rsidR="00A7183A" w:rsidRPr="005A722C">
        <w:rPr>
          <w:rFonts w:asciiTheme="minorHAnsi" w:hAnsiTheme="minorHAnsi" w:cstheme="minorHAnsi"/>
        </w:rPr>
        <w:t xml:space="preserve"> </w:t>
      </w:r>
      <w:r w:rsidR="00C73B9F" w:rsidRPr="005A722C">
        <w:rPr>
          <w:rFonts w:asciiTheme="minorHAnsi" w:hAnsiTheme="minorHAnsi" w:cstheme="minorHAnsi"/>
        </w:rPr>
        <w:t>and student engagement as expected by the department</w:t>
      </w:r>
      <w:r w:rsidR="00AD7B91" w:rsidRPr="005A722C">
        <w:rPr>
          <w:rFonts w:asciiTheme="minorHAnsi" w:hAnsiTheme="minorHAnsi" w:cstheme="minorHAnsi"/>
        </w:rPr>
        <w:t>,</w:t>
      </w:r>
    </w:p>
    <w:p w14:paraId="3840C8C7" w14:textId="05C011D3" w:rsidR="00A7183A" w:rsidRPr="005A722C" w:rsidRDefault="00AD7B91" w:rsidP="005A722C">
      <w:pPr>
        <w:pStyle w:val="ListParagraph"/>
        <w:numPr>
          <w:ilvl w:val="0"/>
          <w:numId w:val="10"/>
        </w:numPr>
        <w:spacing w:before="100" w:beforeAutospacing="1" w:after="100" w:afterAutospacing="1"/>
        <w:ind w:left="1440"/>
        <w:rPr>
          <w:rFonts w:asciiTheme="minorHAnsi" w:hAnsiTheme="minorHAnsi" w:cstheme="minorHAnsi"/>
        </w:rPr>
      </w:pPr>
      <w:r w:rsidRPr="005A722C">
        <w:rPr>
          <w:rFonts w:asciiTheme="minorHAnsi" w:hAnsiTheme="minorHAnsi" w:cstheme="minorHAnsi"/>
        </w:rPr>
        <w:t>Examples of p</w:t>
      </w:r>
      <w:r w:rsidR="00C73B9F" w:rsidRPr="005A722C">
        <w:rPr>
          <w:rFonts w:asciiTheme="minorHAnsi" w:hAnsiTheme="minorHAnsi" w:cstheme="minorHAnsi"/>
        </w:rPr>
        <w:t>edagogical or technological innovation</w:t>
      </w:r>
      <w:r w:rsidRPr="005A722C">
        <w:rPr>
          <w:rFonts w:asciiTheme="minorHAnsi" w:hAnsiTheme="minorHAnsi" w:cstheme="minorHAnsi"/>
        </w:rPr>
        <w:t>, and</w:t>
      </w:r>
    </w:p>
    <w:p w14:paraId="0D80E195" w14:textId="29DEAB53" w:rsidR="00C73B9F" w:rsidRPr="005A722C" w:rsidRDefault="00C73B9F" w:rsidP="005A722C">
      <w:pPr>
        <w:pStyle w:val="ListParagraph"/>
        <w:numPr>
          <w:ilvl w:val="0"/>
          <w:numId w:val="10"/>
        </w:numPr>
        <w:spacing w:before="100" w:beforeAutospacing="1" w:after="100" w:afterAutospacing="1"/>
        <w:ind w:left="1440"/>
        <w:rPr>
          <w:rFonts w:asciiTheme="minorHAnsi" w:hAnsiTheme="minorHAnsi" w:cstheme="minorHAnsi"/>
        </w:rPr>
      </w:pPr>
      <w:r w:rsidRPr="005A722C">
        <w:rPr>
          <w:rFonts w:asciiTheme="minorHAnsi" w:hAnsiTheme="minorHAnsi" w:cstheme="minorHAnsi"/>
        </w:rPr>
        <w:t>A Reflection on Teaching as additional evidence of teaching excellence.</w:t>
      </w:r>
    </w:p>
    <w:p w14:paraId="2F4E09DA" w14:textId="6EC4CE26" w:rsidR="008C0886" w:rsidRPr="005A722C" w:rsidRDefault="008C0886"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b/>
          <w:bCs/>
        </w:rPr>
        <w:t xml:space="preserve">Standards for </w:t>
      </w:r>
      <w:r w:rsidR="008B4ED9" w:rsidRPr="005A722C">
        <w:rPr>
          <w:rFonts w:asciiTheme="minorHAnsi" w:hAnsiTheme="minorHAnsi" w:cstheme="minorHAnsi"/>
          <w:b/>
          <w:bCs/>
        </w:rPr>
        <w:t xml:space="preserve">Advancement from </w:t>
      </w:r>
      <w:r w:rsidR="0015702F" w:rsidRPr="005A722C">
        <w:rPr>
          <w:rFonts w:asciiTheme="minorHAnsi" w:hAnsiTheme="minorHAnsi" w:cstheme="minorHAnsi"/>
          <w:b/>
          <w:bCs/>
        </w:rPr>
        <w:t xml:space="preserve">Lecturer II </w:t>
      </w:r>
      <w:r w:rsidRPr="005A722C">
        <w:rPr>
          <w:rFonts w:asciiTheme="minorHAnsi" w:hAnsiTheme="minorHAnsi" w:cstheme="minorHAnsi"/>
          <w:b/>
          <w:bCs/>
        </w:rPr>
        <w:t>to Lecturer III</w:t>
      </w:r>
    </w:p>
    <w:p w14:paraId="7605FC24" w14:textId="10F7EED8" w:rsidR="005A00A7" w:rsidRPr="005A722C" w:rsidRDefault="00A0306D"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rPr>
        <w:t xml:space="preserve">To be considered for promotion from Lecturer II to Lecturer III, faculty should provide evidence </w:t>
      </w:r>
      <w:r w:rsidR="008C0886" w:rsidRPr="005A722C">
        <w:rPr>
          <w:rFonts w:asciiTheme="minorHAnsi" w:hAnsiTheme="minorHAnsi" w:cstheme="minorHAnsi"/>
        </w:rPr>
        <w:t>of sustained teaching</w:t>
      </w:r>
      <w:r w:rsidR="0015702F" w:rsidRPr="005A722C">
        <w:rPr>
          <w:rFonts w:asciiTheme="minorHAnsi" w:hAnsiTheme="minorHAnsi" w:cstheme="minorHAnsi"/>
        </w:rPr>
        <w:t xml:space="preserve"> and advising</w:t>
      </w:r>
      <w:r w:rsidR="008C0886" w:rsidRPr="005A722C">
        <w:rPr>
          <w:rFonts w:asciiTheme="minorHAnsi" w:hAnsiTheme="minorHAnsi" w:cstheme="minorHAnsi"/>
        </w:rPr>
        <w:t xml:space="preserve"> excellence </w:t>
      </w:r>
      <w:r w:rsidR="005A00A7" w:rsidRPr="005A722C">
        <w:rPr>
          <w:rFonts w:asciiTheme="minorHAnsi" w:hAnsiTheme="minorHAnsi" w:cstheme="minorHAnsi"/>
        </w:rPr>
        <w:t>as defined above</w:t>
      </w:r>
      <w:r w:rsidR="00977E0B" w:rsidRPr="005A722C">
        <w:rPr>
          <w:rFonts w:asciiTheme="minorHAnsi" w:hAnsiTheme="minorHAnsi" w:cstheme="minorHAnsi"/>
        </w:rPr>
        <w:t xml:space="preserve"> across the evaluation period</w:t>
      </w:r>
      <w:r w:rsidR="00AD7B91" w:rsidRPr="005A722C">
        <w:rPr>
          <w:rFonts w:asciiTheme="minorHAnsi" w:hAnsiTheme="minorHAnsi" w:cstheme="minorHAnsi"/>
        </w:rPr>
        <w:t>.</w:t>
      </w:r>
    </w:p>
    <w:p w14:paraId="2EE2E73A" w14:textId="6BDCD64D" w:rsidR="008C0886" w:rsidRPr="005A722C" w:rsidRDefault="0004305C" w:rsidP="005A00A7">
      <w:pPr>
        <w:spacing w:before="100" w:beforeAutospacing="1" w:after="100" w:afterAutospacing="1"/>
        <w:rPr>
          <w:rFonts w:asciiTheme="minorHAnsi" w:hAnsiTheme="minorHAnsi" w:cstheme="minorHAnsi"/>
          <w:b/>
          <w:bCs/>
          <w:caps/>
        </w:rPr>
      </w:pPr>
      <w:r w:rsidRPr="005A722C">
        <w:rPr>
          <w:rFonts w:asciiTheme="minorHAnsi" w:hAnsiTheme="minorHAnsi" w:cstheme="minorHAnsi"/>
          <w:b/>
          <w:bCs/>
          <w:caps/>
        </w:rPr>
        <w:t xml:space="preserve">Professional Currency / </w:t>
      </w:r>
      <w:r w:rsidR="008C0886" w:rsidRPr="005A722C">
        <w:rPr>
          <w:rFonts w:asciiTheme="minorHAnsi" w:hAnsiTheme="minorHAnsi" w:cstheme="minorHAnsi"/>
          <w:b/>
          <w:bCs/>
          <w:caps/>
        </w:rPr>
        <w:t>Scholarship</w:t>
      </w:r>
    </w:p>
    <w:p w14:paraId="3916AAA9" w14:textId="77777777" w:rsidR="005A722C" w:rsidRPr="005A722C" w:rsidRDefault="005A722C" w:rsidP="005A722C">
      <w:pPr>
        <w:spacing w:before="100" w:beforeAutospacing="1" w:after="100" w:afterAutospacing="1"/>
        <w:rPr>
          <w:rFonts w:asciiTheme="minorHAnsi" w:hAnsiTheme="minorHAnsi" w:cstheme="minorHAnsi"/>
        </w:rPr>
      </w:pPr>
      <w:r w:rsidRPr="005A722C">
        <w:rPr>
          <w:rFonts w:asciiTheme="minorHAnsi" w:hAnsiTheme="minorHAnsi" w:cstheme="minorHAnsi"/>
        </w:rPr>
        <w:t>Professional Currency/Scholarship is widely interpreted and may take many forms, including, but not limited to, publications, presentations, grants, and professional activities. These activities should support the faculty member’s scholarly academic, practice academic, scholarly practitioner, or instructional practitioner qualifications.</w:t>
      </w:r>
    </w:p>
    <w:p w14:paraId="359DDE27" w14:textId="77777777" w:rsidR="005A722C" w:rsidRPr="005A722C" w:rsidRDefault="005A722C" w:rsidP="005A722C">
      <w:pPr>
        <w:spacing w:before="100" w:beforeAutospacing="1" w:after="100" w:afterAutospacing="1"/>
        <w:rPr>
          <w:rFonts w:asciiTheme="minorHAnsi" w:hAnsiTheme="minorHAnsi" w:cstheme="minorHAnsi"/>
        </w:rPr>
      </w:pPr>
      <w:r w:rsidRPr="005A722C">
        <w:rPr>
          <w:rFonts w:asciiTheme="minorHAnsi" w:hAnsiTheme="minorHAnsi" w:cstheme="minorHAnsi"/>
        </w:rPr>
        <w:t xml:space="preserve">Evidence of maintenance of professional currency can include, but is not limited to, maintenance of professional certification or license, participation in continuing education, maintenance of an active consulting practice related to one’s teaching area, development and </w:t>
      </w:r>
      <w:r w:rsidRPr="005A722C">
        <w:rPr>
          <w:rFonts w:asciiTheme="minorHAnsi" w:hAnsiTheme="minorHAnsi" w:cstheme="minorHAnsi"/>
        </w:rPr>
        <w:lastRenderedPageBreak/>
        <w:t>presentation of executive education programs, significant participation in business professional associations.</w:t>
      </w:r>
    </w:p>
    <w:p w14:paraId="04603FF5" w14:textId="77777777" w:rsidR="005A722C" w:rsidRPr="005A722C" w:rsidRDefault="005A722C" w:rsidP="005A722C">
      <w:pPr>
        <w:spacing w:before="100" w:beforeAutospacing="1" w:after="100" w:afterAutospacing="1"/>
        <w:rPr>
          <w:rFonts w:asciiTheme="minorHAnsi" w:hAnsiTheme="minorHAnsi" w:cstheme="minorHAnsi"/>
        </w:rPr>
      </w:pPr>
      <w:r w:rsidRPr="005A722C">
        <w:rPr>
          <w:rFonts w:asciiTheme="minorHAnsi" w:hAnsiTheme="minorHAnsi" w:cstheme="minorHAnsi"/>
        </w:rPr>
        <w:t>Evidence of scholarship can include, but is not limited to, peer-reviewed published proceedings or paper presentations at academic conferences, editorially-reviewed journal articles, textbook chapters, textbooks, teaching exercises distributed by a national or international publisher, published software, grants, reports derived from an externally funded grant or contract, case or casebooks, book reviews in referred journals, major editorial responsibilities for refereed journals, attending a professional meeting, conference or national workshop, using academic expertise to support non-profit or government boards or taskforces, providing pro-bono consulting service to the community, providing academic expertise to external media on an issue on the UN SDGs.</w:t>
      </w:r>
    </w:p>
    <w:p w14:paraId="52698A68" w14:textId="77777777" w:rsidR="00A33DB9" w:rsidRPr="005A722C" w:rsidRDefault="00A33DB9" w:rsidP="005A722C">
      <w:pPr>
        <w:spacing w:before="100" w:beforeAutospacing="1" w:after="100" w:afterAutospacing="1"/>
        <w:ind w:left="720"/>
        <w:rPr>
          <w:rFonts w:asciiTheme="minorHAnsi" w:hAnsiTheme="minorHAnsi" w:cstheme="minorHAnsi"/>
          <w:b/>
          <w:bCs/>
        </w:rPr>
      </w:pPr>
      <w:r w:rsidRPr="005A722C">
        <w:rPr>
          <w:rFonts w:asciiTheme="minorHAnsi" w:hAnsiTheme="minorHAnsi" w:cstheme="minorHAnsi"/>
          <w:b/>
          <w:bCs/>
        </w:rPr>
        <w:t xml:space="preserve">Standards for Advancement to Lecturer II </w:t>
      </w:r>
    </w:p>
    <w:p w14:paraId="55B5F006" w14:textId="5D251305" w:rsidR="00A33DB9" w:rsidRPr="005A722C" w:rsidRDefault="00A33DB9"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rPr>
        <w:t>Faculty shall provide evidence of sustained scholarship and professional activities by providing a Summative Professional Currency / Scholarship Reflection Statement covering the period of evaluation.</w:t>
      </w:r>
    </w:p>
    <w:p w14:paraId="3954F8FF" w14:textId="77777777" w:rsidR="008B4ED9" w:rsidRPr="005A722C" w:rsidRDefault="008B4ED9"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b/>
          <w:bCs/>
        </w:rPr>
        <w:t>Standards for Advancement from Lecturer II to Lecturer III</w:t>
      </w:r>
    </w:p>
    <w:p w14:paraId="5A3EE145" w14:textId="77E323D0" w:rsidR="008B4ED9" w:rsidRPr="005A722C" w:rsidRDefault="00840D45"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rPr>
        <w:t xml:space="preserve">To be considered for promotion from Lecturer II to Lecturer III, faculty </w:t>
      </w:r>
      <w:r w:rsidR="00A33DB9" w:rsidRPr="005A722C">
        <w:rPr>
          <w:rFonts w:asciiTheme="minorHAnsi" w:hAnsiTheme="minorHAnsi" w:cstheme="minorHAnsi"/>
        </w:rPr>
        <w:t xml:space="preserve">shall </w:t>
      </w:r>
      <w:r w:rsidRPr="005A722C">
        <w:rPr>
          <w:rFonts w:asciiTheme="minorHAnsi" w:hAnsiTheme="minorHAnsi" w:cstheme="minorHAnsi"/>
        </w:rPr>
        <w:t>provide</w:t>
      </w:r>
      <w:r w:rsidR="00A33DB9" w:rsidRPr="005A722C">
        <w:rPr>
          <w:rFonts w:asciiTheme="minorHAnsi" w:hAnsiTheme="minorHAnsi" w:cstheme="minorHAnsi"/>
        </w:rPr>
        <w:t xml:space="preserve"> </w:t>
      </w:r>
      <w:r w:rsidRPr="005A722C">
        <w:rPr>
          <w:rFonts w:asciiTheme="minorHAnsi" w:hAnsiTheme="minorHAnsi" w:cstheme="minorHAnsi"/>
        </w:rPr>
        <w:t xml:space="preserve">evidence of sustained scholarship and professional activities as defined above </w:t>
      </w:r>
      <w:r w:rsidR="002D458F" w:rsidRPr="005A722C">
        <w:rPr>
          <w:rFonts w:asciiTheme="minorHAnsi" w:hAnsiTheme="minorHAnsi" w:cstheme="minorHAnsi"/>
        </w:rPr>
        <w:t xml:space="preserve">by providing a Summative </w:t>
      </w:r>
      <w:r w:rsidR="00A33DB9" w:rsidRPr="005A722C">
        <w:rPr>
          <w:rFonts w:asciiTheme="minorHAnsi" w:hAnsiTheme="minorHAnsi" w:cstheme="minorHAnsi"/>
        </w:rPr>
        <w:t xml:space="preserve">Professional Currency / </w:t>
      </w:r>
      <w:r w:rsidR="002D458F" w:rsidRPr="005A722C">
        <w:rPr>
          <w:rFonts w:asciiTheme="minorHAnsi" w:hAnsiTheme="minorHAnsi" w:cstheme="minorHAnsi"/>
        </w:rPr>
        <w:t xml:space="preserve">Scholarship Reflection </w:t>
      </w:r>
      <w:r w:rsidR="00A33DB9" w:rsidRPr="005A722C">
        <w:rPr>
          <w:rFonts w:asciiTheme="minorHAnsi" w:hAnsiTheme="minorHAnsi" w:cstheme="minorHAnsi"/>
        </w:rPr>
        <w:t xml:space="preserve">Statement </w:t>
      </w:r>
      <w:r w:rsidR="002D458F" w:rsidRPr="005A722C">
        <w:rPr>
          <w:rFonts w:asciiTheme="minorHAnsi" w:hAnsiTheme="minorHAnsi" w:cstheme="minorHAnsi"/>
        </w:rPr>
        <w:t>covering the period of evaluation</w:t>
      </w:r>
      <w:r w:rsidRPr="005A722C">
        <w:rPr>
          <w:rFonts w:asciiTheme="minorHAnsi" w:hAnsiTheme="minorHAnsi" w:cstheme="minorHAnsi"/>
        </w:rPr>
        <w:t>.</w:t>
      </w:r>
    </w:p>
    <w:p w14:paraId="4A1B1B95" w14:textId="5A4BF31F" w:rsidR="008C0886" w:rsidRPr="005A722C" w:rsidRDefault="008C0886" w:rsidP="008B4ED9">
      <w:pPr>
        <w:spacing w:before="100" w:beforeAutospacing="1" w:after="100" w:afterAutospacing="1"/>
        <w:rPr>
          <w:rFonts w:asciiTheme="minorHAnsi" w:hAnsiTheme="minorHAnsi" w:cstheme="minorHAnsi"/>
          <w:b/>
          <w:bCs/>
          <w:caps/>
        </w:rPr>
      </w:pPr>
      <w:r w:rsidRPr="005A722C">
        <w:rPr>
          <w:rFonts w:asciiTheme="minorHAnsi" w:hAnsiTheme="minorHAnsi" w:cstheme="minorHAnsi"/>
          <w:b/>
          <w:bCs/>
          <w:caps/>
        </w:rPr>
        <w:t>Service</w:t>
      </w:r>
      <w:r w:rsidR="00C728D8" w:rsidRPr="005A722C">
        <w:rPr>
          <w:rFonts w:asciiTheme="minorHAnsi" w:hAnsiTheme="minorHAnsi" w:cstheme="minorHAnsi"/>
          <w:b/>
          <w:bCs/>
          <w:caps/>
        </w:rPr>
        <w:t xml:space="preserve"> / Engagement Activities</w:t>
      </w:r>
      <w:r w:rsidRPr="005A722C">
        <w:rPr>
          <w:rFonts w:asciiTheme="minorHAnsi" w:hAnsiTheme="minorHAnsi" w:cstheme="minorHAnsi"/>
          <w:b/>
          <w:bCs/>
          <w:caps/>
        </w:rPr>
        <w:t xml:space="preserve"> </w:t>
      </w:r>
    </w:p>
    <w:p w14:paraId="122769BD" w14:textId="77777777" w:rsidR="005A722C" w:rsidRPr="005A722C" w:rsidRDefault="005A722C" w:rsidP="005A722C">
      <w:pPr>
        <w:spacing w:before="100" w:beforeAutospacing="1" w:after="100" w:afterAutospacing="1"/>
        <w:rPr>
          <w:rFonts w:asciiTheme="minorHAnsi" w:hAnsiTheme="minorHAnsi" w:cstheme="minorHAnsi"/>
        </w:rPr>
      </w:pPr>
      <w:r w:rsidRPr="005A722C">
        <w:rPr>
          <w:rFonts w:asciiTheme="minorHAnsi" w:hAnsiTheme="minorHAnsi" w:cstheme="minorHAnsi"/>
        </w:rPr>
        <w:t xml:space="preserve">Service will vary in terms of the roles and level of commitment that are made to the department, college, institution, the profession, and the greater community. </w:t>
      </w:r>
    </w:p>
    <w:p w14:paraId="0D1029CA" w14:textId="77777777" w:rsidR="005A722C" w:rsidRPr="005A722C" w:rsidRDefault="005A722C" w:rsidP="005A722C">
      <w:pPr>
        <w:spacing w:before="100" w:beforeAutospacing="1" w:after="100" w:afterAutospacing="1"/>
        <w:rPr>
          <w:rFonts w:asciiTheme="minorHAnsi" w:hAnsiTheme="minorHAnsi" w:cstheme="minorHAnsi"/>
        </w:rPr>
      </w:pPr>
      <w:r w:rsidRPr="005A722C">
        <w:rPr>
          <w:rFonts w:asciiTheme="minorHAnsi" w:hAnsiTheme="minorHAnsi" w:cstheme="minorHAnsi"/>
        </w:rPr>
        <w:t>Service can take many forms including, but not limited to, attending department, college, and university events, participating in open houses, serving on active department, college, or university committees and task forces, advising students clubs and organizations, attending fundraising and friendraising events, providing work/consulting services for local civic or social community organizations, providing an interview for print, radio, television or online channels, disseminating research/consulting reports to the greater business community, conducting pro-bono seminars, presentations, or colloquia, publishing op-ed letters, general press releases, or newsletters for “public consumption.”</w:t>
      </w:r>
    </w:p>
    <w:p w14:paraId="534BE6A7" w14:textId="77777777" w:rsidR="00A33DB9" w:rsidRPr="005A722C" w:rsidRDefault="00A33DB9" w:rsidP="005A722C">
      <w:pPr>
        <w:spacing w:before="100" w:beforeAutospacing="1" w:after="100" w:afterAutospacing="1"/>
        <w:ind w:left="720"/>
        <w:rPr>
          <w:rFonts w:asciiTheme="minorHAnsi" w:hAnsiTheme="minorHAnsi" w:cstheme="minorHAnsi"/>
          <w:b/>
          <w:bCs/>
        </w:rPr>
      </w:pPr>
      <w:r w:rsidRPr="005A722C">
        <w:rPr>
          <w:rFonts w:asciiTheme="minorHAnsi" w:hAnsiTheme="minorHAnsi" w:cstheme="minorHAnsi"/>
          <w:b/>
          <w:bCs/>
        </w:rPr>
        <w:t xml:space="preserve">Standards for Advancement to Lecturer II </w:t>
      </w:r>
    </w:p>
    <w:p w14:paraId="21DC82BD" w14:textId="325BFA0A" w:rsidR="00A33DB9" w:rsidRPr="005A722C" w:rsidRDefault="00A33DB9"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rPr>
        <w:t xml:space="preserve">To be considered for promotion to Lecturer II, faculty must provide evidence of sustained service </w:t>
      </w:r>
      <w:r w:rsidR="00C728D8" w:rsidRPr="005A722C">
        <w:rPr>
          <w:rFonts w:asciiTheme="minorHAnsi" w:hAnsiTheme="minorHAnsi" w:cstheme="minorHAnsi"/>
        </w:rPr>
        <w:t xml:space="preserve">and engagement </w:t>
      </w:r>
      <w:r w:rsidRPr="005A722C">
        <w:rPr>
          <w:rFonts w:asciiTheme="minorHAnsi" w:hAnsiTheme="minorHAnsi" w:cstheme="minorHAnsi"/>
        </w:rPr>
        <w:t xml:space="preserve">activities as defined </w:t>
      </w:r>
      <w:r w:rsidR="00C728D8" w:rsidRPr="005A722C">
        <w:rPr>
          <w:rFonts w:asciiTheme="minorHAnsi" w:hAnsiTheme="minorHAnsi" w:cstheme="minorHAnsi"/>
        </w:rPr>
        <w:t>below</w:t>
      </w:r>
      <w:r w:rsidRPr="005A722C">
        <w:rPr>
          <w:rFonts w:asciiTheme="minorHAnsi" w:hAnsiTheme="minorHAnsi" w:cstheme="minorHAnsi"/>
        </w:rPr>
        <w:t xml:space="preserve"> </w:t>
      </w:r>
      <w:r w:rsidR="00C728D8" w:rsidRPr="005A722C">
        <w:rPr>
          <w:rFonts w:asciiTheme="minorHAnsi" w:hAnsiTheme="minorHAnsi" w:cstheme="minorHAnsi"/>
        </w:rPr>
        <w:t xml:space="preserve">in the form of </w:t>
      </w:r>
      <w:r w:rsidRPr="005A722C">
        <w:rPr>
          <w:rFonts w:asciiTheme="minorHAnsi" w:hAnsiTheme="minorHAnsi" w:cstheme="minorHAnsi"/>
        </w:rPr>
        <w:t xml:space="preserve">a </w:t>
      </w:r>
      <w:r w:rsidRPr="005A722C">
        <w:rPr>
          <w:rFonts w:asciiTheme="minorHAnsi" w:hAnsiTheme="minorHAnsi" w:cstheme="minorHAnsi"/>
        </w:rPr>
        <w:lastRenderedPageBreak/>
        <w:t xml:space="preserve">Summative Service </w:t>
      </w:r>
      <w:r w:rsidR="00CB554F" w:rsidRPr="005A722C">
        <w:rPr>
          <w:rFonts w:asciiTheme="minorHAnsi" w:hAnsiTheme="minorHAnsi" w:cstheme="minorHAnsi"/>
        </w:rPr>
        <w:t xml:space="preserve">/ Engagement </w:t>
      </w:r>
      <w:r w:rsidRPr="005A722C">
        <w:rPr>
          <w:rFonts w:asciiTheme="minorHAnsi" w:hAnsiTheme="minorHAnsi" w:cstheme="minorHAnsi"/>
        </w:rPr>
        <w:t>Reflection Statement covering the period of evaluation.</w:t>
      </w:r>
    </w:p>
    <w:p w14:paraId="3429DD12" w14:textId="77777777" w:rsidR="00BC4994" w:rsidRPr="005A722C" w:rsidRDefault="00BC4994"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b/>
          <w:bCs/>
        </w:rPr>
        <w:t>Standards for Advancement from Lecturer II to Lecturer III</w:t>
      </w:r>
    </w:p>
    <w:p w14:paraId="71B9D259" w14:textId="4EB66798" w:rsidR="002D458F" w:rsidRPr="005A722C" w:rsidRDefault="002D458F" w:rsidP="005A722C">
      <w:pPr>
        <w:spacing w:before="100" w:beforeAutospacing="1" w:after="100" w:afterAutospacing="1"/>
        <w:ind w:left="720"/>
        <w:rPr>
          <w:rFonts w:asciiTheme="minorHAnsi" w:hAnsiTheme="minorHAnsi" w:cstheme="minorHAnsi"/>
        </w:rPr>
      </w:pPr>
      <w:r w:rsidRPr="005A722C">
        <w:rPr>
          <w:rFonts w:asciiTheme="minorHAnsi" w:hAnsiTheme="minorHAnsi" w:cstheme="minorHAnsi"/>
        </w:rPr>
        <w:t xml:space="preserve">To be considered for promotion from Lecturer II to Lecturer III, faculty must provide evidence of sustained service activities as defined above by providing a Summative Service </w:t>
      </w:r>
      <w:r w:rsidR="00CB554F" w:rsidRPr="005A722C">
        <w:rPr>
          <w:rFonts w:asciiTheme="minorHAnsi" w:hAnsiTheme="minorHAnsi" w:cstheme="minorHAnsi"/>
        </w:rPr>
        <w:t xml:space="preserve">/ Engagement </w:t>
      </w:r>
      <w:r w:rsidRPr="005A722C">
        <w:rPr>
          <w:rFonts w:asciiTheme="minorHAnsi" w:hAnsiTheme="minorHAnsi" w:cstheme="minorHAnsi"/>
        </w:rPr>
        <w:t xml:space="preserve">Reflection </w:t>
      </w:r>
      <w:r w:rsidR="00C728D8" w:rsidRPr="005A722C">
        <w:rPr>
          <w:rFonts w:asciiTheme="minorHAnsi" w:hAnsiTheme="minorHAnsi" w:cstheme="minorHAnsi"/>
        </w:rPr>
        <w:t xml:space="preserve">Statement </w:t>
      </w:r>
      <w:r w:rsidRPr="005A722C">
        <w:rPr>
          <w:rFonts w:asciiTheme="minorHAnsi" w:hAnsiTheme="minorHAnsi" w:cstheme="minorHAnsi"/>
        </w:rPr>
        <w:t>covering the period of evaluation.</w:t>
      </w:r>
    </w:p>
    <w:p w14:paraId="2CD8C987" w14:textId="661F53E9" w:rsidR="00C728D8" w:rsidRPr="005A722C" w:rsidRDefault="00C728D8" w:rsidP="0023570D">
      <w:pPr>
        <w:rPr>
          <w:rFonts w:asciiTheme="minorHAnsi" w:hAnsiTheme="minorHAnsi" w:cstheme="minorHAnsi"/>
          <w:b/>
          <w:caps/>
          <w:color w:val="000000"/>
          <w:shd w:val="clear" w:color="auto" w:fill="FFFFFF"/>
        </w:rPr>
      </w:pPr>
      <w:r w:rsidRPr="005A722C">
        <w:rPr>
          <w:rFonts w:asciiTheme="minorHAnsi" w:hAnsiTheme="minorHAnsi" w:cstheme="minorHAnsi"/>
          <w:b/>
          <w:caps/>
          <w:color w:val="000000"/>
          <w:shd w:val="clear" w:color="auto" w:fill="FFFFFF"/>
        </w:rPr>
        <w:t>Timeline</w:t>
      </w:r>
    </w:p>
    <w:p w14:paraId="16F419BA" w14:textId="77777777" w:rsidR="00C728D8" w:rsidRPr="005A722C" w:rsidRDefault="00C728D8" w:rsidP="0023570D">
      <w:pPr>
        <w:rPr>
          <w:rFonts w:asciiTheme="minorHAnsi" w:hAnsiTheme="minorHAnsi" w:cstheme="minorHAnsi"/>
          <w:color w:val="000000"/>
          <w:shd w:val="clear" w:color="auto" w:fill="FFFFFF"/>
        </w:rPr>
      </w:pPr>
    </w:p>
    <w:p w14:paraId="501986AA" w14:textId="6ED81FA1" w:rsidR="0023570D" w:rsidRPr="005A722C" w:rsidRDefault="0023570D" w:rsidP="0023570D">
      <w:pPr>
        <w:rPr>
          <w:rFonts w:asciiTheme="minorHAnsi" w:hAnsiTheme="minorHAnsi" w:cstheme="minorHAnsi"/>
        </w:rPr>
      </w:pPr>
      <w:r w:rsidRPr="005A722C">
        <w:rPr>
          <w:rFonts w:asciiTheme="minorHAnsi" w:hAnsiTheme="minorHAnsi" w:cstheme="minorHAnsi"/>
          <w:color w:val="000000"/>
          <w:shd w:val="clear" w:color="auto" w:fill="FFFFFF"/>
        </w:rPr>
        <w:t>In order to be considered</w:t>
      </w:r>
      <w:r w:rsidR="00C728D8" w:rsidRPr="005A722C">
        <w:rPr>
          <w:rFonts w:asciiTheme="minorHAnsi" w:hAnsiTheme="minorHAnsi" w:cstheme="minorHAnsi"/>
          <w:color w:val="000000"/>
          <w:shd w:val="clear" w:color="auto" w:fill="FFFFFF"/>
        </w:rPr>
        <w:t xml:space="preserve"> for advancement</w:t>
      </w:r>
      <w:r w:rsidRPr="005A722C">
        <w:rPr>
          <w:rFonts w:asciiTheme="minorHAnsi" w:hAnsiTheme="minorHAnsi" w:cstheme="minorHAnsi"/>
          <w:color w:val="000000"/>
          <w:shd w:val="clear" w:color="auto" w:fill="FFFFFF"/>
        </w:rPr>
        <w:t xml:space="preserve">, the following materials shall be submitted by the 3rd Friday in June: curriculum vita, annual reviews, </w:t>
      </w:r>
      <w:r w:rsidR="00CB554F" w:rsidRPr="005A722C">
        <w:rPr>
          <w:rFonts w:asciiTheme="minorHAnsi" w:hAnsiTheme="minorHAnsi" w:cstheme="minorHAnsi"/>
          <w:color w:val="000000"/>
          <w:shd w:val="clear" w:color="auto" w:fill="FFFFFF"/>
        </w:rPr>
        <w:t>and reflection statements for each of the three categories</w:t>
      </w:r>
      <w:r w:rsidR="002D458F" w:rsidRPr="005A722C">
        <w:rPr>
          <w:rFonts w:asciiTheme="minorHAnsi" w:hAnsiTheme="minorHAnsi" w:cstheme="minorHAnsi"/>
          <w:color w:val="000000"/>
          <w:shd w:val="clear" w:color="auto" w:fill="FFFFFF"/>
        </w:rPr>
        <w:t xml:space="preserve"> </w:t>
      </w:r>
      <w:r w:rsidR="007A56C0" w:rsidRPr="005A722C">
        <w:rPr>
          <w:rFonts w:asciiTheme="minorHAnsi" w:hAnsiTheme="minorHAnsi" w:cstheme="minorHAnsi"/>
          <w:color w:val="000000"/>
          <w:shd w:val="clear" w:color="auto" w:fill="FFFFFF"/>
        </w:rPr>
        <w:t>covering</w:t>
      </w:r>
      <w:r w:rsidRPr="005A722C">
        <w:rPr>
          <w:rFonts w:asciiTheme="minorHAnsi" w:hAnsiTheme="minorHAnsi" w:cstheme="minorHAnsi"/>
          <w:color w:val="000000"/>
          <w:shd w:val="clear" w:color="auto" w:fill="FFFFFF"/>
        </w:rPr>
        <w:t xml:space="preserve"> the evaluation period.</w:t>
      </w:r>
    </w:p>
    <w:p w14:paraId="589CE9CF" w14:textId="15C929DC" w:rsidR="0060266D" w:rsidRPr="005A722C" w:rsidRDefault="004A474A">
      <w:pPr>
        <w:rPr>
          <w:rFonts w:asciiTheme="minorHAnsi" w:hAnsiTheme="minorHAnsi" w:cstheme="minorHAnsi"/>
        </w:rPr>
      </w:pPr>
    </w:p>
    <w:p w14:paraId="2387D836" w14:textId="74426124" w:rsidR="009775EB" w:rsidRPr="005A722C" w:rsidRDefault="00CB554F" w:rsidP="009775EB">
      <w:pPr>
        <w:shd w:val="clear" w:color="auto" w:fill="FFFFFF"/>
        <w:rPr>
          <w:rFonts w:asciiTheme="minorHAnsi" w:hAnsiTheme="minorHAnsi" w:cstheme="minorHAnsi"/>
          <w:color w:val="000000" w:themeColor="text1"/>
        </w:rPr>
      </w:pPr>
      <w:r w:rsidRPr="005A722C">
        <w:rPr>
          <w:rFonts w:asciiTheme="minorHAnsi" w:hAnsiTheme="minorHAnsi" w:cstheme="minorHAnsi"/>
          <w:color w:val="000000" w:themeColor="text1"/>
        </w:rPr>
        <w:t xml:space="preserve">Advancement </w:t>
      </w:r>
      <w:r w:rsidR="009775EB" w:rsidRPr="005A722C">
        <w:rPr>
          <w:rFonts w:asciiTheme="minorHAnsi" w:hAnsiTheme="minorHAnsi" w:cstheme="minorHAnsi"/>
          <w:color w:val="000000" w:themeColor="text1"/>
        </w:rPr>
        <w:t>decisions shall follow the established PTR calendar:</w:t>
      </w:r>
    </w:p>
    <w:p w14:paraId="5FEC40DF" w14:textId="77777777" w:rsidR="009775EB" w:rsidRPr="005A722C" w:rsidRDefault="009775EB" w:rsidP="009775EB">
      <w:pPr>
        <w:shd w:val="clear" w:color="auto" w:fill="FFFFFF"/>
        <w:rPr>
          <w:rFonts w:asciiTheme="minorHAnsi" w:hAnsiTheme="minorHAnsi" w:cstheme="minorHAnsi"/>
          <w:color w:val="000000" w:themeColor="text1"/>
        </w:rPr>
      </w:pPr>
    </w:p>
    <w:p w14:paraId="76F24EBC" w14:textId="52464F82" w:rsidR="009775EB" w:rsidRPr="005A722C" w:rsidRDefault="009775EB" w:rsidP="009775EB">
      <w:pPr>
        <w:shd w:val="clear" w:color="auto" w:fill="FFFFFF"/>
        <w:rPr>
          <w:rFonts w:asciiTheme="minorHAnsi" w:hAnsiTheme="minorHAnsi" w:cstheme="minorHAnsi"/>
          <w:color w:val="000000" w:themeColor="text1"/>
        </w:rPr>
      </w:pPr>
      <w:r w:rsidRPr="005A722C">
        <w:rPr>
          <w:rFonts w:asciiTheme="minorHAnsi" w:hAnsiTheme="minorHAnsi" w:cstheme="minorHAnsi"/>
          <w:color w:val="000000" w:themeColor="text1"/>
        </w:rPr>
        <w:t xml:space="preserve">Second Friday in October: Department PTR recommendations for </w:t>
      </w:r>
      <w:r w:rsidR="00CB554F" w:rsidRPr="005A722C">
        <w:rPr>
          <w:rFonts w:asciiTheme="minorHAnsi" w:hAnsiTheme="minorHAnsi" w:cstheme="minorHAnsi"/>
          <w:color w:val="000000" w:themeColor="text1"/>
        </w:rPr>
        <w:t>l</w:t>
      </w:r>
      <w:r w:rsidRPr="005A722C">
        <w:rPr>
          <w:rFonts w:asciiTheme="minorHAnsi" w:hAnsiTheme="minorHAnsi" w:cstheme="minorHAnsi"/>
          <w:color w:val="000000" w:themeColor="text1"/>
        </w:rPr>
        <w:t>ecturer</w:t>
      </w:r>
      <w:r w:rsidR="00CB554F" w:rsidRPr="005A722C">
        <w:rPr>
          <w:rFonts w:asciiTheme="minorHAnsi" w:hAnsiTheme="minorHAnsi" w:cstheme="minorHAnsi"/>
          <w:color w:val="000000" w:themeColor="text1"/>
        </w:rPr>
        <w:t xml:space="preserve"> advancement</w:t>
      </w:r>
      <w:r w:rsidRPr="005A722C">
        <w:rPr>
          <w:rFonts w:asciiTheme="minorHAnsi" w:hAnsiTheme="minorHAnsi" w:cstheme="minorHAnsi"/>
          <w:color w:val="000000" w:themeColor="text1"/>
        </w:rPr>
        <w:t xml:space="preserve"> due to department chair</w:t>
      </w:r>
    </w:p>
    <w:p w14:paraId="48C36859" w14:textId="77777777" w:rsidR="009775EB" w:rsidRPr="005A722C" w:rsidRDefault="009775EB" w:rsidP="009775EB">
      <w:pPr>
        <w:shd w:val="clear" w:color="auto" w:fill="FFFFFF"/>
        <w:rPr>
          <w:rFonts w:asciiTheme="minorHAnsi" w:hAnsiTheme="minorHAnsi" w:cstheme="minorHAnsi"/>
          <w:color w:val="000000" w:themeColor="text1"/>
        </w:rPr>
      </w:pPr>
    </w:p>
    <w:p w14:paraId="0B870776" w14:textId="377A08C0" w:rsidR="009775EB" w:rsidRPr="005A722C" w:rsidRDefault="009775EB" w:rsidP="009775EB">
      <w:pPr>
        <w:rPr>
          <w:rFonts w:asciiTheme="minorHAnsi" w:hAnsiTheme="minorHAnsi" w:cstheme="minorHAnsi"/>
          <w:bCs/>
          <w:color w:val="000000" w:themeColor="text1"/>
        </w:rPr>
      </w:pPr>
      <w:r w:rsidRPr="005A722C">
        <w:rPr>
          <w:rFonts w:asciiTheme="minorHAnsi" w:hAnsiTheme="minorHAnsi" w:cstheme="minorHAnsi"/>
          <w:bCs/>
          <w:color w:val="000000" w:themeColor="text1"/>
        </w:rPr>
        <w:t xml:space="preserve">Fourth Friday of October: </w:t>
      </w:r>
      <w:r w:rsidR="00CB554F" w:rsidRPr="005A722C">
        <w:rPr>
          <w:rFonts w:asciiTheme="minorHAnsi" w:hAnsiTheme="minorHAnsi" w:cstheme="minorHAnsi"/>
          <w:bCs/>
          <w:color w:val="000000" w:themeColor="text1"/>
        </w:rPr>
        <w:t>Faculty</w:t>
      </w:r>
      <w:r w:rsidRPr="005A722C">
        <w:rPr>
          <w:rFonts w:asciiTheme="minorHAnsi" w:hAnsiTheme="minorHAnsi" w:cstheme="minorHAnsi"/>
          <w:bCs/>
          <w:color w:val="000000" w:themeColor="text1"/>
        </w:rPr>
        <w:t xml:space="preserve"> notified of </w:t>
      </w:r>
      <w:r w:rsidR="00CB554F" w:rsidRPr="005A722C">
        <w:rPr>
          <w:rFonts w:asciiTheme="minorHAnsi" w:hAnsiTheme="minorHAnsi" w:cstheme="minorHAnsi"/>
          <w:bCs/>
          <w:color w:val="000000" w:themeColor="text1"/>
        </w:rPr>
        <w:t xml:space="preserve">PTR committee </w:t>
      </w:r>
      <w:r w:rsidRPr="005A722C">
        <w:rPr>
          <w:rFonts w:asciiTheme="minorHAnsi" w:hAnsiTheme="minorHAnsi" w:cstheme="minorHAnsi"/>
          <w:bCs/>
          <w:color w:val="000000" w:themeColor="text1"/>
        </w:rPr>
        <w:t xml:space="preserve">and chairperson recommendations. </w:t>
      </w:r>
    </w:p>
    <w:p w14:paraId="5635E746" w14:textId="77777777" w:rsidR="009775EB" w:rsidRPr="005A722C" w:rsidRDefault="009775EB" w:rsidP="009775EB">
      <w:pPr>
        <w:shd w:val="clear" w:color="auto" w:fill="FFFFFF"/>
        <w:rPr>
          <w:rFonts w:asciiTheme="minorHAnsi" w:hAnsiTheme="minorHAnsi" w:cstheme="minorHAnsi"/>
          <w:color w:val="000000" w:themeColor="text1"/>
        </w:rPr>
      </w:pPr>
    </w:p>
    <w:p w14:paraId="6CF6451D" w14:textId="76B26C08" w:rsidR="009775EB" w:rsidRPr="005A722C" w:rsidRDefault="009775EB" w:rsidP="009775EB">
      <w:pPr>
        <w:shd w:val="clear" w:color="auto" w:fill="FFFFFF"/>
        <w:rPr>
          <w:rFonts w:asciiTheme="minorHAnsi" w:hAnsiTheme="minorHAnsi" w:cstheme="minorHAnsi"/>
          <w:color w:val="000000" w:themeColor="text1"/>
        </w:rPr>
      </w:pPr>
      <w:r w:rsidRPr="005A722C">
        <w:rPr>
          <w:rFonts w:asciiTheme="minorHAnsi" w:hAnsiTheme="minorHAnsi" w:cstheme="minorHAnsi"/>
          <w:color w:val="000000" w:themeColor="text1"/>
        </w:rPr>
        <w:t xml:space="preserve">Second Friday in November: Department </w:t>
      </w:r>
      <w:r w:rsidR="00CB554F" w:rsidRPr="005A722C">
        <w:rPr>
          <w:rFonts w:asciiTheme="minorHAnsi" w:hAnsiTheme="minorHAnsi" w:cstheme="minorHAnsi"/>
          <w:color w:val="000000" w:themeColor="text1"/>
        </w:rPr>
        <w:t xml:space="preserve">PTR </w:t>
      </w:r>
      <w:r w:rsidRPr="005A722C">
        <w:rPr>
          <w:rFonts w:asciiTheme="minorHAnsi" w:hAnsiTheme="minorHAnsi" w:cstheme="minorHAnsi"/>
          <w:color w:val="000000" w:themeColor="text1"/>
        </w:rPr>
        <w:t xml:space="preserve">committee and </w:t>
      </w:r>
      <w:r w:rsidR="00CB554F" w:rsidRPr="005A722C">
        <w:rPr>
          <w:rFonts w:asciiTheme="minorHAnsi" w:hAnsiTheme="minorHAnsi" w:cstheme="minorHAnsi"/>
          <w:color w:val="000000" w:themeColor="text1"/>
        </w:rPr>
        <w:t xml:space="preserve">department </w:t>
      </w:r>
      <w:r w:rsidRPr="005A722C">
        <w:rPr>
          <w:rFonts w:asciiTheme="minorHAnsi" w:hAnsiTheme="minorHAnsi" w:cstheme="minorHAnsi"/>
          <w:color w:val="000000" w:themeColor="text1"/>
        </w:rPr>
        <w:t xml:space="preserve">chairperson recommendations due to Dean </w:t>
      </w:r>
    </w:p>
    <w:p w14:paraId="3EC65DD3" w14:textId="77777777" w:rsidR="009775EB" w:rsidRPr="005A722C" w:rsidRDefault="009775EB" w:rsidP="009775EB">
      <w:pPr>
        <w:shd w:val="clear" w:color="auto" w:fill="FFFFFF"/>
        <w:rPr>
          <w:rFonts w:asciiTheme="minorHAnsi" w:hAnsiTheme="minorHAnsi" w:cstheme="minorHAnsi"/>
          <w:color w:val="000000" w:themeColor="text1"/>
        </w:rPr>
      </w:pPr>
    </w:p>
    <w:p w14:paraId="5B0A3DE5" w14:textId="34A3357D" w:rsidR="009775EB" w:rsidRPr="005A722C" w:rsidRDefault="009775EB" w:rsidP="009775EB">
      <w:pPr>
        <w:shd w:val="clear" w:color="auto" w:fill="FFFFFF"/>
        <w:ind w:left="720"/>
        <w:rPr>
          <w:rFonts w:asciiTheme="minorHAnsi" w:hAnsiTheme="minorHAnsi" w:cstheme="minorHAnsi"/>
          <w:color w:val="000000" w:themeColor="text1"/>
        </w:rPr>
      </w:pPr>
      <w:r w:rsidRPr="005A722C">
        <w:rPr>
          <w:rFonts w:asciiTheme="minorHAnsi" w:hAnsiTheme="minorHAnsi" w:cstheme="minorHAnsi"/>
          <w:color w:val="000000" w:themeColor="text1"/>
        </w:rPr>
        <w:t>Note:  Lecturer promotions do not go through college PTRM committees; recommendations go straight to the college’s Dean</w:t>
      </w:r>
    </w:p>
    <w:p w14:paraId="32F556A7" w14:textId="77777777" w:rsidR="009775EB" w:rsidRPr="005A722C" w:rsidRDefault="009775EB" w:rsidP="009775EB">
      <w:pPr>
        <w:shd w:val="clear" w:color="auto" w:fill="FFFFFF"/>
        <w:ind w:left="720"/>
        <w:rPr>
          <w:rFonts w:asciiTheme="minorHAnsi" w:hAnsiTheme="minorHAnsi" w:cstheme="minorHAnsi"/>
          <w:color w:val="000000" w:themeColor="text1"/>
        </w:rPr>
      </w:pPr>
    </w:p>
    <w:p w14:paraId="090A240E" w14:textId="1B1A2A54" w:rsidR="009775EB" w:rsidRPr="005A722C" w:rsidRDefault="009775EB" w:rsidP="009775EB">
      <w:pPr>
        <w:rPr>
          <w:rFonts w:asciiTheme="minorHAnsi" w:hAnsiTheme="minorHAnsi" w:cstheme="minorHAnsi"/>
          <w:bCs/>
          <w:color w:val="000000" w:themeColor="text1"/>
        </w:rPr>
      </w:pPr>
      <w:r w:rsidRPr="005A722C">
        <w:rPr>
          <w:rFonts w:asciiTheme="minorHAnsi" w:hAnsiTheme="minorHAnsi" w:cstheme="minorHAnsi"/>
          <w:bCs/>
          <w:color w:val="000000" w:themeColor="text1"/>
        </w:rPr>
        <w:t>Third Friday in January: Faculty notified of Dean’s recommendation</w:t>
      </w:r>
    </w:p>
    <w:p w14:paraId="6515E954" w14:textId="77777777" w:rsidR="009775EB" w:rsidRPr="005A722C" w:rsidRDefault="009775EB" w:rsidP="009775EB">
      <w:pPr>
        <w:shd w:val="clear" w:color="auto" w:fill="FFFFFF"/>
        <w:rPr>
          <w:rFonts w:asciiTheme="minorHAnsi" w:hAnsiTheme="minorHAnsi" w:cstheme="minorHAnsi"/>
          <w:color w:val="000000" w:themeColor="text1"/>
        </w:rPr>
      </w:pPr>
    </w:p>
    <w:p w14:paraId="14A516DB" w14:textId="77777777" w:rsidR="009775EB" w:rsidRPr="005A722C" w:rsidRDefault="009775EB" w:rsidP="009775EB">
      <w:pPr>
        <w:shd w:val="clear" w:color="auto" w:fill="FFFFFF"/>
        <w:rPr>
          <w:rFonts w:asciiTheme="minorHAnsi" w:hAnsiTheme="minorHAnsi" w:cstheme="minorHAnsi"/>
          <w:color w:val="000000" w:themeColor="text1"/>
        </w:rPr>
      </w:pPr>
      <w:r w:rsidRPr="005A722C">
        <w:rPr>
          <w:rFonts w:asciiTheme="minorHAnsi" w:hAnsiTheme="minorHAnsi" w:cstheme="minorHAnsi"/>
          <w:color w:val="000000" w:themeColor="text1"/>
        </w:rPr>
        <w:t xml:space="preserve">First Friday in February:  Dean’s recommendations for lecturer promotion delivered to Provost. </w:t>
      </w:r>
    </w:p>
    <w:p w14:paraId="61578E13" w14:textId="6C8DFD7F" w:rsidR="009775EB" w:rsidRPr="005A722C" w:rsidRDefault="009775EB">
      <w:pPr>
        <w:rPr>
          <w:rFonts w:asciiTheme="minorHAnsi" w:hAnsiTheme="minorHAnsi" w:cstheme="minorHAnsi"/>
        </w:rPr>
      </w:pPr>
    </w:p>
    <w:p w14:paraId="1E42CFEC" w14:textId="0D252C40" w:rsidR="0087753B" w:rsidRPr="005A722C" w:rsidRDefault="0087753B">
      <w:pPr>
        <w:rPr>
          <w:rFonts w:asciiTheme="minorHAnsi" w:hAnsiTheme="minorHAnsi" w:cstheme="minorHAnsi"/>
        </w:rPr>
      </w:pPr>
    </w:p>
    <w:sectPr w:rsidR="0087753B" w:rsidRPr="005A72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7723" w14:textId="77777777" w:rsidR="0004305C" w:rsidRDefault="0004305C" w:rsidP="0004305C">
      <w:r>
        <w:separator/>
      </w:r>
    </w:p>
  </w:endnote>
  <w:endnote w:type="continuationSeparator" w:id="0">
    <w:p w14:paraId="6B56AD43" w14:textId="77777777" w:rsidR="0004305C" w:rsidRDefault="0004305C" w:rsidP="0004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26A6" w14:textId="77777777" w:rsidR="0004305C" w:rsidRDefault="0004305C" w:rsidP="0004305C">
      <w:r>
        <w:separator/>
      </w:r>
    </w:p>
  </w:footnote>
  <w:footnote w:type="continuationSeparator" w:id="0">
    <w:p w14:paraId="2FAA0D23" w14:textId="77777777" w:rsidR="0004305C" w:rsidRDefault="0004305C" w:rsidP="00043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268"/>
    <w:multiLevelType w:val="multilevel"/>
    <w:tmpl w:val="10D8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D46D5"/>
    <w:multiLevelType w:val="hybridMultilevel"/>
    <w:tmpl w:val="3424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9450C"/>
    <w:multiLevelType w:val="multilevel"/>
    <w:tmpl w:val="4DAC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73588"/>
    <w:multiLevelType w:val="multilevel"/>
    <w:tmpl w:val="B514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C2107"/>
    <w:multiLevelType w:val="multilevel"/>
    <w:tmpl w:val="8FA8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E109A"/>
    <w:multiLevelType w:val="hybridMultilevel"/>
    <w:tmpl w:val="4D18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302B3"/>
    <w:multiLevelType w:val="multilevel"/>
    <w:tmpl w:val="9B7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5310C"/>
    <w:multiLevelType w:val="multilevel"/>
    <w:tmpl w:val="B36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74757"/>
    <w:multiLevelType w:val="multilevel"/>
    <w:tmpl w:val="3A86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1441D"/>
    <w:multiLevelType w:val="hybridMultilevel"/>
    <w:tmpl w:val="163C57EE"/>
    <w:lvl w:ilvl="0" w:tplc="AA34F91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54885036">
    <w:abstractNumId w:val="0"/>
  </w:num>
  <w:num w:numId="2" w16cid:durableId="2043817855">
    <w:abstractNumId w:val="2"/>
  </w:num>
  <w:num w:numId="3" w16cid:durableId="1840386797">
    <w:abstractNumId w:val="4"/>
  </w:num>
  <w:num w:numId="4" w16cid:durableId="641039401">
    <w:abstractNumId w:val="7"/>
  </w:num>
  <w:num w:numId="5" w16cid:durableId="2016111200">
    <w:abstractNumId w:val="3"/>
  </w:num>
  <w:num w:numId="6" w16cid:durableId="48304552">
    <w:abstractNumId w:val="6"/>
  </w:num>
  <w:num w:numId="7" w16cid:durableId="1478719329">
    <w:abstractNumId w:val="8"/>
  </w:num>
  <w:num w:numId="8" w16cid:durableId="989401539">
    <w:abstractNumId w:val="1"/>
  </w:num>
  <w:num w:numId="9" w16cid:durableId="522326513">
    <w:abstractNumId w:val="9"/>
  </w:num>
  <w:num w:numId="10" w16cid:durableId="895320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86"/>
    <w:rsid w:val="0004305C"/>
    <w:rsid w:val="0015702F"/>
    <w:rsid w:val="001C1E49"/>
    <w:rsid w:val="0023570D"/>
    <w:rsid w:val="002D458F"/>
    <w:rsid w:val="003F63E0"/>
    <w:rsid w:val="004A474A"/>
    <w:rsid w:val="00553F89"/>
    <w:rsid w:val="005A00A7"/>
    <w:rsid w:val="005A722C"/>
    <w:rsid w:val="005D747E"/>
    <w:rsid w:val="0076183A"/>
    <w:rsid w:val="00786F98"/>
    <w:rsid w:val="007A56C0"/>
    <w:rsid w:val="00804B18"/>
    <w:rsid w:val="00840D45"/>
    <w:rsid w:val="0087753B"/>
    <w:rsid w:val="008B4ED9"/>
    <w:rsid w:val="008C0886"/>
    <w:rsid w:val="009775EB"/>
    <w:rsid w:val="00977E0B"/>
    <w:rsid w:val="00A0306D"/>
    <w:rsid w:val="00A33DB9"/>
    <w:rsid w:val="00A7183A"/>
    <w:rsid w:val="00AD7B91"/>
    <w:rsid w:val="00B25DF8"/>
    <w:rsid w:val="00B733AE"/>
    <w:rsid w:val="00B779F4"/>
    <w:rsid w:val="00BC4994"/>
    <w:rsid w:val="00C728D8"/>
    <w:rsid w:val="00C73B9F"/>
    <w:rsid w:val="00CB554F"/>
    <w:rsid w:val="00DC67A4"/>
    <w:rsid w:val="00EB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84DE1"/>
  <w15:chartTrackingRefBased/>
  <w15:docId w15:val="{230A1DCD-0CD9-BA4F-A8EB-6B516F2F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886"/>
    <w:pPr>
      <w:spacing w:before="100" w:beforeAutospacing="1" w:after="100" w:afterAutospacing="1"/>
    </w:pPr>
  </w:style>
  <w:style w:type="paragraph" w:styleId="Revision">
    <w:name w:val="Revision"/>
    <w:hidden/>
    <w:uiPriority w:val="99"/>
    <w:semiHidden/>
    <w:rsid w:val="0087753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7753B"/>
    <w:rPr>
      <w:sz w:val="16"/>
      <w:szCs w:val="16"/>
    </w:rPr>
  </w:style>
  <w:style w:type="paragraph" w:styleId="CommentText">
    <w:name w:val="annotation text"/>
    <w:basedOn w:val="Normal"/>
    <w:link w:val="CommentTextChar"/>
    <w:uiPriority w:val="99"/>
    <w:semiHidden/>
    <w:unhideWhenUsed/>
    <w:rsid w:val="0087753B"/>
    <w:rPr>
      <w:sz w:val="20"/>
      <w:szCs w:val="20"/>
    </w:rPr>
  </w:style>
  <w:style w:type="character" w:customStyle="1" w:styleId="CommentTextChar">
    <w:name w:val="Comment Text Char"/>
    <w:basedOn w:val="DefaultParagraphFont"/>
    <w:link w:val="CommentText"/>
    <w:uiPriority w:val="99"/>
    <w:semiHidden/>
    <w:rsid w:val="008775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753B"/>
    <w:rPr>
      <w:b/>
      <w:bCs/>
    </w:rPr>
  </w:style>
  <w:style w:type="character" w:customStyle="1" w:styleId="CommentSubjectChar">
    <w:name w:val="Comment Subject Char"/>
    <w:basedOn w:val="CommentTextChar"/>
    <w:link w:val="CommentSubject"/>
    <w:uiPriority w:val="99"/>
    <w:semiHidden/>
    <w:rsid w:val="008775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1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83A"/>
    <w:rPr>
      <w:rFonts w:ascii="Segoe UI" w:eastAsia="Times New Roman" w:hAnsi="Segoe UI" w:cs="Segoe UI"/>
      <w:sz w:val="18"/>
      <w:szCs w:val="18"/>
    </w:rPr>
  </w:style>
  <w:style w:type="paragraph" w:styleId="ListParagraph">
    <w:name w:val="List Paragraph"/>
    <w:basedOn w:val="Normal"/>
    <w:uiPriority w:val="34"/>
    <w:qFormat/>
    <w:rsid w:val="0076183A"/>
    <w:pPr>
      <w:ind w:left="720"/>
      <w:contextualSpacing/>
    </w:pPr>
  </w:style>
  <w:style w:type="paragraph" w:styleId="Header">
    <w:name w:val="header"/>
    <w:basedOn w:val="Normal"/>
    <w:link w:val="HeaderChar"/>
    <w:uiPriority w:val="99"/>
    <w:unhideWhenUsed/>
    <w:rsid w:val="0004305C"/>
    <w:pPr>
      <w:tabs>
        <w:tab w:val="center" w:pos="4680"/>
        <w:tab w:val="right" w:pos="9360"/>
      </w:tabs>
    </w:pPr>
  </w:style>
  <w:style w:type="character" w:customStyle="1" w:styleId="HeaderChar">
    <w:name w:val="Header Char"/>
    <w:basedOn w:val="DefaultParagraphFont"/>
    <w:link w:val="Header"/>
    <w:uiPriority w:val="99"/>
    <w:rsid w:val="0004305C"/>
    <w:rPr>
      <w:rFonts w:ascii="Times New Roman" w:eastAsia="Times New Roman" w:hAnsi="Times New Roman" w:cs="Times New Roman"/>
    </w:rPr>
  </w:style>
  <w:style w:type="paragraph" w:styleId="Footer">
    <w:name w:val="footer"/>
    <w:basedOn w:val="Normal"/>
    <w:link w:val="FooterChar"/>
    <w:uiPriority w:val="99"/>
    <w:unhideWhenUsed/>
    <w:rsid w:val="0004305C"/>
    <w:pPr>
      <w:tabs>
        <w:tab w:val="center" w:pos="4680"/>
        <w:tab w:val="right" w:pos="9360"/>
      </w:tabs>
    </w:pPr>
  </w:style>
  <w:style w:type="character" w:customStyle="1" w:styleId="FooterChar">
    <w:name w:val="Footer Char"/>
    <w:basedOn w:val="DefaultParagraphFont"/>
    <w:link w:val="Footer"/>
    <w:uiPriority w:val="99"/>
    <w:rsid w:val="000430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45866">
      <w:bodyDiv w:val="1"/>
      <w:marLeft w:val="0"/>
      <w:marRight w:val="0"/>
      <w:marTop w:val="0"/>
      <w:marBottom w:val="0"/>
      <w:divBdr>
        <w:top w:val="none" w:sz="0" w:space="0" w:color="auto"/>
        <w:left w:val="none" w:sz="0" w:space="0" w:color="auto"/>
        <w:bottom w:val="none" w:sz="0" w:space="0" w:color="auto"/>
        <w:right w:val="none" w:sz="0" w:space="0" w:color="auto"/>
      </w:divBdr>
    </w:div>
    <w:div w:id="1614901054">
      <w:bodyDiv w:val="1"/>
      <w:marLeft w:val="0"/>
      <w:marRight w:val="0"/>
      <w:marTop w:val="0"/>
      <w:marBottom w:val="0"/>
      <w:divBdr>
        <w:top w:val="none" w:sz="0" w:space="0" w:color="auto"/>
        <w:left w:val="none" w:sz="0" w:space="0" w:color="auto"/>
        <w:bottom w:val="none" w:sz="0" w:space="0" w:color="auto"/>
        <w:right w:val="none" w:sz="0" w:space="0" w:color="auto"/>
      </w:divBdr>
    </w:div>
    <w:div w:id="2096700801">
      <w:bodyDiv w:val="1"/>
      <w:marLeft w:val="0"/>
      <w:marRight w:val="0"/>
      <w:marTop w:val="0"/>
      <w:marBottom w:val="0"/>
      <w:divBdr>
        <w:top w:val="none" w:sz="0" w:space="0" w:color="auto"/>
        <w:left w:val="none" w:sz="0" w:space="0" w:color="auto"/>
        <w:bottom w:val="none" w:sz="0" w:space="0" w:color="auto"/>
        <w:right w:val="none" w:sz="0" w:space="0" w:color="auto"/>
      </w:divBdr>
      <w:divsChild>
        <w:div w:id="936714235">
          <w:marLeft w:val="0"/>
          <w:marRight w:val="0"/>
          <w:marTop w:val="0"/>
          <w:marBottom w:val="0"/>
          <w:divBdr>
            <w:top w:val="none" w:sz="0" w:space="0" w:color="auto"/>
            <w:left w:val="none" w:sz="0" w:space="0" w:color="auto"/>
            <w:bottom w:val="none" w:sz="0" w:space="0" w:color="auto"/>
            <w:right w:val="none" w:sz="0" w:space="0" w:color="auto"/>
          </w:divBdr>
          <w:divsChild>
            <w:div w:id="693385238">
              <w:marLeft w:val="0"/>
              <w:marRight w:val="0"/>
              <w:marTop w:val="0"/>
              <w:marBottom w:val="0"/>
              <w:divBdr>
                <w:top w:val="none" w:sz="0" w:space="0" w:color="auto"/>
                <w:left w:val="none" w:sz="0" w:space="0" w:color="auto"/>
                <w:bottom w:val="none" w:sz="0" w:space="0" w:color="auto"/>
                <w:right w:val="none" w:sz="0" w:space="0" w:color="auto"/>
              </w:divBdr>
              <w:divsChild>
                <w:div w:id="18459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407">
          <w:marLeft w:val="0"/>
          <w:marRight w:val="0"/>
          <w:marTop w:val="0"/>
          <w:marBottom w:val="0"/>
          <w:divBdr>
            <w:top w:val="none" w:sz="0" w:space="0" w:color="auto"/>
            <w:left w:val="none" w:sz="0" w:space="0" w:color="auto"/>
            <w:bottom w:val="none" w:sz="0" w:space="0" w:color="auto"/>
            <w:right w:val="none" w:sz="0" w:space="0" w:color="auto"/>
          </w:divBdr>
          <w:divsChild>
            <w:div w:id="1612012153">
              <w:marLeft w:val="0"/>
              <w:marRight w:val="0"/>
              <w:marTop w:val="0"/>
              <w:marBottom w:val="0"/>
              <w:divBdr>
                <w:top w:val="none" w:sz="0" w:space="0" w:color="auto"/>
                <w:left w:val="none" w:sz="0" w:space="0" w:color="auto"/>
                <w:bottom w:val="none" w:sz="0" w:space="0" w:color="auto"/>
                <w:right w:val="none" w:sz="0" w:space="0" w:color="auto"/>
              </w:divBdr>
              <w:divsChild>
                <w:div w:id="16127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4769">
          <w:marLeft w:val="0"/>
          <w:marRight w:val="0"/>
          <w:marTop w:val="0"/>
          <w:marBottom w:val="0"/>
          <w:divBdr>
            <w:top w:val="none" w:sz="0" w:space="0" w:color="auto"/>
            <w:left w:val="none" w:sz="0" w:space="0" w:color="auto"/>
            <w:bottom w:val="none" w:sz="0" w:space="0" w:color="auto"/>
            <w:right w:val="none" w:sz="0" w:space="0" w:color="auto"/>
          </w:divBdr>
          <w:divsChild>
            <w:div w:id="2139951483">
              <w:marLeft w:val="0"/>
              <w:marRight w:val="0"/>
              <w:marTop w:val="0"/>
              <w:marBottom w:val="0"/>
              <w:divBdr>
                <w:top w:val="none" w:sz="0" w:space="0" w:color="auto"/>
                <w:left w:val="none" w:sz="0" w:space="0" w:color="auto"/>
                <w:bottom w:val="none" w:sz="0" w:space="0" w:color="auto"/>
                <w:right w:val="none" w:sz="0" w:space="0" w:color="auto"/>
              </w:divBdr>
              <w:divsChild>
                <w:div w:id="13688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272">
          <w:marLeft w:val="0"/>
          <w:marRight w:val="0"/>
          <w:marTop w:val="0"/>
          <w:marBottom w:val="0"/>
          <w:divBdr>
            <w:top w:val="none" w:sz="0" w:space="0" w:color="auto"/>
            <w:left w:val="none" w:sz="0" w:space="0" w:color="auto"/>
            <w:bottom w:val="none" w:sz="0" w:space="0" w:color="auto"/>
            <w:right w:val="none" w:sz="0" w:space="0" w:color="auto"/>
          </w:divBdr>
          <w:divsChild>
            <w:div w:id="1945502581">
              <w:marLeft w:val="0"/>
              <w:marRight w:val="0"/>
              <w:marTop w:val="0"/>
              <w:marBottom w:val="0"/>
              <w:divBdr>
                <w:top w:val="none" w:sz="0" w:space="0" w:color="auto"/>
                <w:left w:val="none" w:sz="0" w:space="0" w:color="auto"/>
                <w:bottom w:val="none" w:sz="0" w:space="0" w:color="auto"/>
                <w:right w:val="none" w:sz="0" w:space="0" w:color="auto"/>
              </w:divBdr>
              <w:divsChild>
                <w:div w:id="18814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880">
          <w:marLeft w:val="0"/>
          <w:marRight w:val="0"/>
          <w:marTop w:val="0"/>
          <w:marBottom w:val="0"/>
          <w:divBdr>
            <w:top w:val="none" w:sz="0" w:space="0" w:color="auto"/>
            <w:left w:val="none" w:sz="0" w:space="0" w:color="auto"/>
            <w:bottom w:val="none" w:sz="0" w:space="0" w:color="auto"/>
            <w:right w:val="none" w:sz="0" w:space="0" w:color="auto"/>
          </w:divBdr>
          <w:divsChild>
            <w:div w:id="637998964">
              <w:marLeft w:val="0"/>
              <w:marRight w:val="0"/>
              <w:marTop w:val="0"/>
              <w:marBottom w:val="0"/>
              <w:divBdr>
                <w:top w:val="none" w:sz="0" w:space="0" w:color="auto"/>
                <w:left w:val="none" w:sz="0" w:space="0" w:color="auto"/>
                <w:bottom w:val="none" w:sz="0" w:space="0" w:color="auto"/>
                <w:right w:val="none" w:sz="0" w:space="0" w:color="auto"/>
              </w:divBdr>
              <w:divsChild>
                <w:div w:id="5868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Steffes, Erin</dc:creator>
  <cp:keywords/>
  <dc:description/>
  <cp:lastModifiedBy>Harris, Judy</cp:lastModifiedBy>
  <cp:revision>2</cp:revision>
  <dcterms:created xsi:type="dcterms:W3CDTF">2022-10-07T17:46:00Z</dcterms:created>
  <dcterms:modified xsi:type="dcterms:W3CDTF">2022-10-07T17:46:00Z</dcterms:modified>
</cp:coreProperties>
</file>